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F65" w:rsidRPr="0083318A" w:rsidRDefault="00495F65" w:rsidP="00495F65">
      <w:pPr>
        <w:spacing w:line="360" w:lineRule="auto"/>
        <w:jc w:val="both"/>
        <w:rPr>
          <w:rFonts w:ascii="Arial" w:hAnsi="Arial" w:cs="Arial"/>
          <w:b/>
          <w:sz w:val="24"/>
          <w:szCs w:val="24"/>
          <w:lang w:val="en-US"/>
        </w:rPr>
      </w:pPr>
      <w:r w:rsidRPr="0083318A">
        <w:rPr>
          <w:rFonts w:ascii="Arial" w:hAnsi="Arial" w:cs="Arial"/>
          <w:b/>
          <w:sz w:val="24"/>
          <w:szCs w:val="24"/>
          <w:lang w:val="en-US"/>
        </w:rPr>
        <w:t xml:space="preserve">Carvalho, C. O. (2015). </w:t>
      </w:r>
      <w:proofErr w:type="spellStart"/>
      <w:r w:rsidRPr="0083318A">
        <w:rPr>
          <w:rFonts w:ascii="Arial" w:hAnsi="Arial" w:cs="Arial"/>
          <w:b/>
          <w:sz w:val="24"/>
          <w:szCs w:val="24"/>
          <w:lang w:val="en-US"/>
        </w:rPr>
        <w:t>Mapas</w:t>
      </w:r>
      <w:proofErr w:type="spellEnd"/>
      <w:r w:rsidRPr="0083318A">
        <w:rPr>
          <w:rFonts w:ascii="Arial" w:hAnsi="Arial" w:cs="Arial"/>
          <w:b/>
          <w:sz w:val="24"/>
          <w:szCs w:val="24"/>
          <w:lang w:val="en-US"/>
        </w:rPr>
        <w:t xml:space="preserve"> </w:t>
      </w:r>
      <w:proofErr w:type="spellStart"/>
      <w:r w:rsidRPr="0083318A">
        <w:rPr>
          <w:rFonts w:ascii="Arial" w:hAnsi="Arial" w:cs="Arial"/>
          <w:b/>
          <w:sz w:val="24"/>
          <w:szCs w:val="24"/>
          <w:lang w:val="en-US"/>
        </w:rPr>
        <w:t>Pensantes</w:t>
      </w:r>
      <w:proofErr w:type="spellEnd"/>
      <w:r w:rsidRPr="0083318A">
        <w:rPr>
          <w:rFonts w:ascii="Arial" w:hAnsi="Arial" w:cs="Arial"/>
          <w:b/>
          <w:sz w:val="24"/>
          <w:szCs w:val="24"/>
          <w:lang w:val="en-US"/>
        </w:rPr>
        <w:t>® as a cognitive intervention resource for high school students. Master's thesis, Institute of Psychology. Federal University of Bahia, Salvador.</w:t>
      </w:r>
    </w:p>
    <w:p w:rsidR="003254B1" w:rsidRPr="0083318A" w:rsidRDefault="003254B1" w:rsidP="00495F65">
      <w:pPr>
        <w:spacing w:line="360" w:lineRule="auto"/>
        <w:jc w:val="both"/>
        <w:rPr>
          <w:rFonts w:ascii="Arial" w:hAnsi="Arial" w:cs="Arial"/>
          <w:b/>
          <w:sz w:val="24"/>
          <w:szCs w:val="24"/>
          <w:lang w:val="en-US"/>
        </w:rPr>
      </w:pPr>
    </w:p>
    <w:p w:rsidR="00495F65" w:rsidRPr="0083318A" w:rsidRDefault="00495F65" w:rsidP="00495F65">
      <w:pPr>
        <w:spacing w:line="360" w:lineRule="auto"/>
        <w:jc w:val="both"/>
        <w:rPr>
          <w:rFonts w:ascii="Arial" w:hAnsi="Arial" w:cs="Arial"/>
          <w:sz w:val="24"/>
          <w:szCs w:val="24"/>
          <w:lang w:val="en-US"/>
        </w:rPr>
      </w:pPr>
      <w:proofErr w:type="spellStart"/>
      <w:r w:rsidRPr="0083318A">
        <w:rPr>
          <w:rFonts w:ascii="Arial" w:hAnsi="Arial" w:cs="Arial"/>
          <w:sz w:val="24"/>
          <w:szCs w:val="24"/>
          <w:lang w:val="en-US"/>
        </w:rPr>
        <w:t>Mapas</w:t>
      </w:r>
      <w:proofErr w:type="spellEnd"/>
      <w:r w:rsidRPr="0083318A">
        <w:rPr>
          <w:rFonts w:ascii="Arial" w:hAnsi="Arial" w:cs="Arial"/>
          <w:sz w:val="24"/>
          <w:szCs w:val="24"/>
          <w:lang w:val="en-US"/>
        </w:rPr>
        <w:t xml:space="preserve"> </w:t>
      </w:r>
      <w:proofErr w:type="spellStart"/>
      <w:r w:rsidRPr="0083318A">
        <w:rPr>
          <w:rFonts w:ascii="Arial" w:hAnsi="Arial" w:cs="Arial"/>
          <w:sz w:val="24"/>
          <w:szCs w:val="24"/>
          <w:lang w:val="en-US"/>
        </w:rPr>
        <w:t>Pensantes</w:t>
      </w:r>
      <w:proofErr w:type="spellEnd"/>
      <w:r w:rsidRPr="0083318A">
        <w:rPr>
          <w:rFonts w:ascii="Arial" w:hAnsi="Arial" w:cs="Arial"/>
          <w:sz w:val="24"/>
          <w:szCs w:val="24"/>
          <w:lang w:val="en-US"/>
        </w:rPr>
        <w:t>®</w:t>
      </w:r>
      <w:r w:rsidR="00302720">
        <w:rPr>
          <w:rFonts w:ascii="Arial" w:hAnsi="Arial" w:cs="Arial"/>
          <w:sz w:val="24"/>
          <w:szCs w:val="24"/>
          <w:lang w:val="en-US"/>
        </w:rPr>
        <w:t>, originally called Thinking Maps©,</w:t>
      </w:r>
      <w:r w:rsidRPr="0083318A">
        <w:rPr>
          <w:rFonts w:ascii="Arial" w:hAnsi="Arial" w:cs="Arial"/>
          <w:sz w:val="24"/>
          <w:szCs w:val="24"/>
          <w:lang w:val="en-US"/>
        </w:rPr>
        <w:t xml:space="preserve"> are a set of visual teaching resources associated with cognitive processes used for interventions in learning environments. Currently it is suggested that, when used by teachers in school context, </w:t>
      </w:r>
      <w:r w:rsidR="0075296B">
        <w:rPr>
          <w:rFonts w:ascii="Arial" w:hAnsi="Arial" w:cs="Arial"/>
          <w:sz w:val="24"/>
          <w:szCs w:val="24"/>
          <w:lang w:val="en-US"/>
        </w:rPr>
        <w:t xml:space="preserve">they </w:t>
      </w:r>
      <w:r w:rsidRPr="0083318A">
        <w:rPr>
          <w:rFonts w:ascii="Arial" w:hAnsi="Arial" w:cs="Arial"/>
          <w:sz w:val="24"/>
          <w:szCs w:val="24"/>
          <w:lang w:val="en-US"/>
        </w:rPr>
        <w:t xml:space="preserve">act as a common language, improving learning and transforming information into knowledge, facilitating communication and sharing of logical thinking. Studies indicate that the use of </w:t>
      </w:r>
      <w:proofErr w:type="spellStart"/>
      <w:r w:rsidRPr="0083318A">
        <w:rPr>
          <w:rFonts w:ascii="Arial" w:hAnsi="Arial" w:cs="Arial"/>
          <w:sz w:val="24"/>
          <w:szCs w:val="24"/>
          <w:lang w:val="en-US"/>
        </w:rPr>
        <w:t>Mapas</w:t>
      </w:r>
      <w:proofErr w:type="spellEnd"/>
      <w:r w:rsidRPr="0083318A">
        <w:rPr>
          <w:rFonts w:ascii="Arial" w:hAnsi="Arial" w:cs="Arial"/>
          <w:sz w:val="24"/>
          <w:szCs w:val="24"/>
          <w:lang w:val="en-US"/>
        </w:rPr>
        <w:t xml:space="preserve"> </w:t>
      </w:r>
      <w:proofErr w:type="spellStart"/>
      <w:r w:rsidRPr="0083318A">
        <w:rPr>
          <w:rFonts w:ascii="Arial" w:hAnsi="Arial" w:cs="Arial"/>
          <w:sz w:val="24"/>
          <w:szCs w:val="24"/>
          <w:lang w:val="en-US"/>
        </w:rPr>
        <w:t>Pensantes</w:t>
      </w:r>
      <w:proofErr w:type="spellEnd"/>
      <w:r w:rsidRPr="0083318A">
        <w:rPr>
          <w:rFonts w:ascii="Arial" w:hAnsi="Arial" w:cs="Arial"/>
          <w:sz w:val="24"/>
          <w:szCs w:val="24"/>
          <w:lang w:val="en-US"/>
        </w:rPr>
        <w:t>® promote academic development, expansion of vocabulary, improvement o</w:t>
      </w:r>
      <w:r w:rsidR="0075296B">
        <w:rPr>
          <w:rFonts w:ascii="Arial" w:hAnsi="Arial" w:cs="Arial"/>
          <w:sz w:val="24"/>
          <w:szCs w:val="24"/>
          <w:lang w:val="en-US"/>
        </w:rPr>
        <w:t>f</w:t>
      </w:r>
      <w:r w:rsidRPr="0083318A">
        <w:rPr>
          <w:rFonts w:ascii="Arial" w:hAnsi="Arial" w:cs="Arial"/>
          <w:sz w:val="24"/>
          <w:szCs w:val="24"/>
          <w:lang w:val="en-US"/>
        </w:rPr>
        <w:t xml:space="preserve"> reading comprehension and mathematical reasoning, as well as developing social and intrapersonal skills. </w:t>
      </w:r>
    </w:p>
    <w:p w:rsidR="00495F65" w:rsidRDefault="00495F65" w:rsidP="00495F65">
      <w:pPr>
        <w:spacing w:line="360" w:lineRule="auto"/>
        <w:jc w:val="both"/>
        <w:rPr>
          <w:rFonts w:ascii="Arial" w:hAnsi="Arial" w:cs="Arial"/>
          <w:sz w:val="24"/>
          <w:szCs w:val="24"/>
          <w:lang w:val="en-US"/>
        </w:rPr>
      </w:pPr>
      <w:r w:rsidRPr="0083318A">
        <w:rPr>
          <w:rFonts w:ascii="Arial" w:hAnsi="Arial" w:cs="Arial"/>
          <w:sz w:val="24"/>
          <w:szCs w:val="24"/>
          <w:lang w:val="en-US"/>
        </w:rPr>
        <w:t xml:space="preserve">My study </w:t>
      </w:r>
      <w:r w:rsidR="003559BC">
        <w:rPr>
          <w:rFonts w:ascii="Arial" w:hAnsi="Arial" w:cs="Arial"/>
          <w:sz w:val="24"/>
          <w:szCs w:val="24"/>
          <w:lang w:val="en-US"/>
        </w:rPr>
        <w:t xml:space="preserve">aimed to determine the effects of Thinking Maps on </w:t>
      </w:r>
      <w:r w:rsidRPr="0083318A">
        <w:rPr>
          <w:rFonts w:ascii="Arial" w:hAnsi="Arial" w:cs="Arial"/>
          <w:sz w:val="24"/>
          <w:szCs w:val="24"/>
          <w:lang w:val="en-US"/>
        </w:rPr>
        <w:t xml:space="preserve">reading comprehension </w:t>
      </w:r>
      <w:r w:rsidR="003559BC">
        <w:rPr>
          <w:rFonts w:ascii="Arial" w:hAnsi="Arial" w:cs="Arial"/>
          <w:sz w:val="24"/>
          <w:szCs w:val="24"/>
          <w:lang w:val="en-US"/>
        </w:rPr>
        <w:t>and working memory. T</w:t>
      </w:r>
      <w:r w:rsidRPr="0083318A">
        <w:rPr>
          <w:rFonts w:ascii="Arial" w:hAnsi="Arial" w:cs="Arial"/>
          <w:sz w:val="24"/>
          <w:szCs w:val="24"/>
          <w:lang w:val="en-US"/>
        </w:rPr>
        <w:t>he Multi-component Working Memory Model</w:t>
      </w:r>
      <w:r w:rsidR="003559BC">
        <w:rPr>
          <w:rFonts w:ascii="Arial" w:hAnsi="Arial" w:cs="Arial"/>
          <w:sz w:val="24"/>
          <w:szCs w:val="24"/>
          <w:lang w:val="en-US"/>
        </w:rPr>
        <w:t xml:space="preserve"> </w:t>
      </w:r>
      <w:r w:rsidR="003559BC" w:rsidRPr="003559BC">
        <w:rPr>
          <w:rFonts w:ascii="Arial" w:hAnsi="Arial" w:cs="Arial"/>
          <w:sz w:val="24"/>
          <w:szCs w:val="24"/>
          <w:lang w:val="en-US"/>
        </w:rPr>
        <w:t xml:space="preserve">of </w:t>
      </w:r>
      <w:r w:rsidR="007D3BF7" w:rsidRPr="003559BC">
        <w:rPr>
          <w:rFonts w:ascii="Arial" w:hAnsi="Arial" w:cs="Arial"/>
          <w:sz w:val="24"/>
          <w:szCs w:val="24"/>
        </w:rPr>
        <w:fldChar w:fldCharType="begin" w:fldLock="1"/>
      </w:r>
      <w:r w:rsidR="006F6C20">
        <w:rPr>
          <w:rFonts w:ascii="Arial" w:hAnsi="Arial" w:cs="Arial"/>
          <w:sz w:val="24"/>
          <w:szCs w:val="24"/>
        </w:rPr>
        <w:instrText>ADDIN CSL_CITATION { "citationItems" : [ { "id" : "ITEM-1", "itemData" : { "abstract" : "I present an account of the origins and development of the multicomponent approach to working memory, making a distinction between the overall theoretical framework, which has remained relatively stable, and the attempts to build more specific models within this framework. I follow this with a brief discussion of alternative models and their relationship to the framework. I conclude with speculations on further developments and a comment on the value of attempting to apply models and theories beyond the laboratory studies on which they are typically based", "author" : [ { "dropping-particle" : "", "family" : "Baddeley", "given" : "A. D.", "non-dropping-particle" : "", "parse-names" : false, "suffix" : "" } ], "container-title" : "The Annual Review of Psychology", "id" : "ITEM-1", "issued" : { "date-parts" : [ [ "2012" ] ] }, "page" : "1\u201329", "title" : "Working Memory: Theories, Models, and Controversies", "type" : "article-journal", "volume" : "63" }, "uris" : [ "http://www.mendeley.com/documents/?uuid=0636fd26-0eb8-4e14-a2f0-40fb64656ec6" ] } ], "mendeley" : { "formattedCitation" : "(Baddeley, 2012)", "manualFormatting" : "Baddeley (2012", "plainTextFormattedCitation" : "(Baddeley, 2012)", "previouslyFormattedCitation" : "(Baddeley, 2012)" }, "properties" : { "noteIndex" : 0 }, "schema" : "https://github.com/citation-style-language/schema/raw/master/csl-citation.json" }</w:instrText>
      </w:r>
      <w:r w:rsidR="007D3BF7" w:rsidRPr="003559BC">
        <w:rPr>
          <w:rFonts w:ascii="Arial" w:hAnsi="Arial" w:cs="Arial"/>
          <w:sz w:val="24"/>
          <w:szCs w:val="24"/>
        </w:rPr>
        <w:fldChar w:fldCharType="separate"/>
      </w:r>
      <w:r w:rsidR="007D3BF7" w:rsidRPr="00F27B28">
        <w:rPr>
          <w:rFonts w:ascii="Arial" w:hAnsi="Arial" w:cs="Arial"/>
          <w:noProof/>
          <w:sz w:val="24"/>
          <w:szCs w:val="24"/>
        </w:rPr>
        <w:t>Baddeley</w:t>
      </w:r>
      <w:r w:rsidR="003559BC">
        <w:rPr>
          <w:rFonts w:ascii="Arial" w:hAnsi="Arial" w:cs="Arial"/>
          <w:noProof/>
        </w:rPr>
        <w:t xml:space="preserve"> (</w:t>
      </w:r>
      <w:r w:rsidR="007D3BF7" w:rsidRPr="003559BC">
        <w:rPr>
          <w:rFonts w:ascii="Arial" w:hAnsi="Arial" w:cs="Arial"/>
          <w:noProof/>
        </w:rPr>
        <w:t>2012</w:t>
      </w:r>
      <w:r w:rsidR="007D3BF7" w:rsidRPr="003559BC">
        <w:rPr>
          <w:rFonts w:ascii="Arial" w:hAnsi="Arial" w:cs="Arial"/>
        </w:rPr>
        <w:fldChar w:fldCharType="end"/>
      </w:r>
      <w:r w:rsidR="003559BC">
        <w:rPr>
          <w:rFonts w:ascii="Arial" w:hAnsi="Arial" w:cs="Arial"/>
        </w:rPr>
        <w:t xml:space="preserve">) </w:t>
      </w:r>
      <w:r w:rsidR="003559BC" w:rsidRPr="003559BC">
        <w:rPr>
          <w:rFonts w:ascii="Arial" w:hAnsi="Arial" w:cs="Arial"/>
          <w:sz w:val="24"/>
          <w:szCs w:val="24"/>
        </w:rPr>
        <w:t>was used in this study</w:t>
      </w:r>
      <w:r w:rsidR="007866BB" w:rsidRPr="003559BC">
        <w:rPr>
          <w:rFonts w:ascii="Arial" w:hAnsi="Arial" w:cs="Arial"/>
          <w:sz w:val="24"/>
          <w:szCs w:val="24"/>
        </w:rPr>
        <w:t xml:space="preserve"> – </w:t>
      </w:r>
      <w:r w:rsidR="003559BC" w:rsidRPr="003559BC">
        <w:rPr>
          <w:rFonts w:ascii="Arial" w:hAnsi="Arial" w:cs="Arial"/>
          <w:sz w:val="24"/>
          <w:szCs w:val="24"/>
        </w:rPr>
        <w:t xml:space="preserve">See </w:t>
      </w:r>
      <w:r w:rsidR="007866BB" w:rsidRPr="003559BC">
        <w:rPr>
          <w:rFonts w:ascii="Arial" w:hAnsi="Arial" w:cs="Arial"/>
          <w:sz w:val="24"/>
          <w:szCs w:val="24"/>
        </w:rPr>
        <w:t>figure below</w:t>
      </w:r>
      <w:r w:rsidR="003254B1" w:rsidRPr="003559BC">
        <w:rPr>
          <w:rFonts w:ascii="Arial" w:hAnsi="Arial" w:cs="Arial"/>
          <w:sz w:val="24"/>
          <w:szCs w:val="24"/>
          <w:lang w:val="en-US"/>
        </w:rPr>
        <w:t>.</w:t>
      </w:r>
      <w:r w:rsidRPr="0083318A">
        <w:rPr>
          <w:rFonts w:ascii="Arial" w:hAnsi="Arial" w:cs="Arial"/>
          <w:sz w:val="24"/>
          <w:szCs w:val="24"/>
          <w:lang w:val="en-US"/>
        </w:rPr>
        <w:t xml:space="preserve"> </w:t>
      </w:r>
      <w:r w:rsidR="003254B1" w:rsidRPr="0083318A">
        <w:rPr>
          <w:rFonts w:ascii="Arial" w:hAnsi="Arial" w:cs="Arial"/>
          <w:sz w:val="24"/>
          <w:szCs w:val="24"/>
          <w:lang w:val="en-US"/>
        </w:rPr>
        <w:t xml:space="preserve">The literature suggests that working memory </w:t>
      </w:r>
      <w:r w:rsidR="00DA15C6" w:rsidRPr="00DA15C6">
        <w:rPr>
          <w:rFonts w:ascii="Arial" w:hAnsi="Arial" w:cs="Arial"/>
          <w:sz w:val="24"/>
          <w:szCs w:val="24"/>
          <w:lang w:val="en-US"/>
        </w:rPr>
        <w:t>plays an important role</w:t>
      </w:r>
      <w:r w:rsidR="003559BC">
        <w:rPr>
          <w:rFonts w:ascii="Arial" w:hAnsi="Arial" w:cs="Arial"/>
          <w:sz w:val="24"/>
          <w:szCs w:val="24"/>
          <w:lang w:val="en-US"/>
        </w:rPr>
        <w:t xml:space="preserve"> in our cognitive functioning and is </w:t>
      </w:r>
      <w:r w:rsidR="00DA15C6" w:rsidRPr="00DA15C6">
        <w:rPr>
          <w:rFonts w:ascii="Arial" w:hAnsi="Arial" w:cs="Arial"/>
          <w:sz w:val="24"/>
          <w:szCs w:val="24"/>
          <w:lang w:val="en-US"/>
        </w:rPr>
        <w:t>considered a good predictor of learning</w:t>
      </w:r>
      <w:r w:rsidR="00814B31">
        <w:rPr>
          <w:rFonts w:ascii="Arial" w:hAnsi="Arial" w:cs="Arial"/>
          <w:sz w:val="24"/>
          <w:szCs w:val="24"/>
          <w:lang w:val="en-US"/>
        </w:rPr>
        <w:t xml:space="preserve"> </w:t>
      </w:r>
      <w:r w:rsidR="006F6C20">
        <w:rPr>
          <w:rFonts w:ascii="Arial" w:hAnsi="Arial" w:cs="Arial"/>
          <w:sz w:val="24"/>
          <w:szCs w:val="24"/>
          <w:lang w:val="en-US"/>
        </w:rPr>
        <w:fldChar w:fldCharType="begin" w:fldLock="1"/>
      </w:r>
      <w:r w:rsidR="00814B31">
        <w:rPr>
          <w:rFonts w:ascii="Arial" w:hAnsi="Arial" w:cs="Arial"/>
          <w:sz w:val="24"/>
          <w:szCs w:val="24"/>
          <w:lang w:val="en-US"/>
        </w:rPr>
        <w:instrText>ADDIN CSL_CITATION { "citationItems" : [ { "id" : "ITEM-1", "itemData" : { "DOI" : "10.1016/j.jecp.2009.11.003", "ISBN" : "1096-0457 (Electronic)\\n0022-0965 (Linking)", "ISSN" : "00220965", "PMID" : "20018296", "abstract" : "There is growing evidence for the relationship between working memory and academic attainment. The aim of the current study was to investigate whether working memory is simply a proxy for IQ or whether there is a unique contribution to learning outcomes. The findings indicate that children's working memory skills at 5 years of age were the best predictor of literacy and numeracy 6 years later. IQ, in contrast, accounted for a smaller portion of unique variance to these learning outcomes. The results demonstrate that working memory is not a proxy for IQ but rather represents a dissociable cognitive skill with unique links to academic attainment. Critically, we find that working memory at the start of formal education is a more powerful predictor of subsequent academic success than IQ. This result has important implications for education, particularly with respect to intervention. ?? 2009 Elsevier Inc. All rights reserved.", "author" : [ { "dropping-particle" : "", "family" : "Alloway", "given" : "Tracy Packiam", "non-dropping-particle" : "", "parse-names" : false, "suffix" : "" }, { "dropping-particle" : "", "family" : "Alloway", "given" : "Ross G.", "non-dropping-particle" : "", "parse-names" : false, "suffix" : "" } ], "container-title" : "Journal of Experimental Child Psychology", "id" : "ITEM-1", "issue" : "1", "issued" : { "date-parts" : [ [ "2010" ] ] }, "page" : "20-29", "title" : "Investigating the predictive roles of working memory and IQ in academic attainment", "type" : "article-journal", "volume" : "106" }, "uris" : [ "http://www.mendeley.com/documents/?uuid=97d48bc5-e456-43e4-913f-db6ca2556507" ] }, { "id" : "ITEM-2", "itemData" : { "author" : [ { "dropping-particle" : "", "family" : "Dehn", "given" : "M. J.", "non-dropping-particle" : "", "parse-names" : false, "suffix" : "" } ], "id" : "ITEM-2", "issued" : { "date-parts" : [ [ "2008" ] ] }, "publisher" : "Jonh Wiley &amp; Sons", "publisher-place" : "Hoboken, New Jersey", "title" : "Working memory and academic learning: assessment and intervention", "type" : "book" }, "uris" : [ "http://www.mendeley.com/documents/?uuid=709e1352-36dc-4de9-8e82-aa2cbe68c363" ] }, { "id" : "ITEM-3", "itemData" : { "abstract" : "A mem\u00f3ria de trabalho \u00e9 um sistema de mem\u00f3ria respons\u00e1vel pelo armazenamento tempor\u00e1rio e processamento simult\u00e2neo de informa\u00e7\u00e3o seja ela do ambiente ou da mem\u00f3ria de longoprazo. Seu funcionamento est\u00e1 intimamente relacionado com atividades cognitivas complexas, incluindo a compreens\u00e3o da linguagem, o racioc\u00ednio e a resolu\u00e7\u00e3o de problemas. De maneira gradual, cada componente se desenvolve, alcan\u00e7ando a maturidade plena somente no in\u00edcio da vida adulta. A investiga\u00e7\u00e3o da mem\u00f3ria de trabalho pode auxiliar na constru\u00e7\u00e3o de novos instrumentos, capazes de avaliarem cada componente desta mem\u00f3ria. Finalmente, dist\u00farbios no funcionamento da mem\u00f3ria de trabalho pode estar associado \u00e0 problemas espec\u00edficos na aprendizagem, tais como a dificuldade na leitura, escrita e resolu\u00e7\u00e3o de problemas matem\u00e1ticos. Assim, o presente estudo se configura como uma revis\u00e3o das principais refer\u00eancias encontradas na literatura atual sobre os marcos mais significativos do desenvolvimento da mem\u00f3ria de trabalho e seus preju\u00edzos mais relevantes no contexto escolar.", "author" : [ { "dropping-particle" : "", "family" : "Uehara", "given" : "Emmy", "non-dropping-particle" : "", "parse-names" : false, "suffix" : "" }, { "dropping-particle" : "", "family" : "Landeira-Fernandez", "given" : "Jesus", "non-dropping-particle" : "", "parse-names" : false, "suffix" : "" } ], "container-title" : "Ci\u00eancias &amp; Cogni\u00e7\u00e3o", "id" : "ITEM-3", "issue" : "2", "issued" : { "date-parts" : [ [ "2010" ] ] }, "page" : "31-41", "title" : "Um panorama sobre o desenvolvimento da mem\u00f3ria de trabalho e seus preju\u00edzos no aprendizado escolar", "type" : "article-journal", "volume" : "15" }, "uris" : [ "http://www.mendeley.com/documents/?uuid=058b18c5-47b3-4120-ae05-c9a32def3037" ] } ], "mendeley" : { "formattedCitation" : "(Alloway &amp; Alloway, 2010; Dehn, 2008; Uehara &amp; Landeira-Fernandez, 2010)", "plainTextFormattedCitation" : "(Alloway &amp; Alloway, 2010; Dehn, 2008; Uehara &amp; Landeira-Fernandez, 2010)", "previouslyFormattedCitation" : "(Alloway &amp; Alloway, 2010; Dehn, 2008; Uehara &amp; Landeira-Fernandez, 2010)" }, "properties" : { "noteIndex" : 0 }, "schema" : "https://github.com/citation-style-language/schema/raw/master/csl-citation.json" }</w:instrText>
      </w:r>
      <w:r w:rsidR="006F6C20">
        <w:rPr>
          <w:rFonts w:ascii="Arial" w:hAnsi="Arial" w:cs="Arial"/>
          <w:sz w:val="24"/>
          <w:szCs w:val="24"/>
          <w:lang w:val="en-US"/>
        </w:rPr>
        <w:fldChar w:fldCharType="separate"/>
      </w:r>
      <w:r w:rsidR="00814B31" w:rsidRPr="00814B31">
        <w:rPr>
          <w:rFonts w:ascii="Arial" w:hAnsi="Arial" w:cs="Arial"/>
          <w:noProof/>
          <w:sz w:val="24"/>
          <w:szCs w:val="24"/>
          <w:lang w:val="en-US"/>
        </w:rPr>
        <w:t>(Alloway &amp; Alloway, 2010; Dehn, 2008; Uehara &amp; Landeira-Fernandez, 2010)</w:t>
      </w:r>
      <w:r w:rsidR="006F6C20">
        <w:rPr>
          <w:rFonts w:ascii="Arial" w:hAnsi="Arial" w:cs="Arial"/>
          <w:sz w:val="24"/>
          <w:szCs w:val="24"/>
          <w:lang w:val="en-US"/>
        </w:rPr>
        <w:fldChar w:fldCharType="end"/>
      </w:r>
      <w:r w:rsidR="00DA15C6" w:rsidRPr="00DA15C6">
        <w:rPr>
          <w:rFonts w:ascii="Arial" w:hAnsi="Arial" w:cs="Arial"/>
          <w:sz w:val="24"/>
          <w:szCs w:val="24"/>
          <w:lang w:val="en-US"/>
        </w:rPr>
        <w:t>, since it is responsible for complex cognitive activities, including language comprehension, reasoning and problem solving</w:t>
      </w:r>
      <w:r w:rsidR="00833342">
        <w:rPr>
          <w:rFonts w:ascii="Arial" w:hAnsi="Arial" w:cs="Arial"/>
          <w:sz w:val="24"/>
          <w:szCs w:val="24"/>
          <w:lang w:val="en-US"/>
        </w:rPr>
        <w:t xml:space="preserve">. It is </w:t>
      </w:r>
      <w:r w:rsidR="00CC5FCD">
        <w:rPr>
          <w:rFonts w:ascii="Arial" w:hAnsi="Arial" w:cs="Arial"/>
          <w:sz w:val="24"/>
          <w:szCs w:val="24"/>
          <w:lang w:val="en-US"/>
        </w:rPr>
        <w:t>argued</w:t>
      </w:r>
      <w:r w:rsidR="00833342">
        <w:rPr>
          <w:rFonts w:ascii="Arial" w:hAnsi="Arial" w:cs="Arial"/>
          <w:sz w:val="24"/>
          <w:szCs w:val="24"/>
          <w:lang w:val="en-US"/>
        </w:rPr>
        <w:t xml:space="preserve"> that working memory also </w:t>
      </w:r>
      <w:r w:rsidR="003254B1" w:rsidRPr="0083318A">
        <w:rPr>
          <w:rFonts w:ascii="Arial" w:hAnsi="Arial" w:cs="Arial"/>
          <w:sz w:val="24"/>
          <w:szCs w:val="24"/>
          <w:lang w:val="en-US"/>
        </w:rPr>
        <w:t>has an effect on reading comprehension</w:t>
      </w:r>
      <w:r w:rsidR="00833342">
        <w:rPr>
          <w:rFonts w:ascii="Arial" w:hAnsi="Arial" w:cs="Arial"/>
          <w:sz w:val="24"/>
          <w:szCs w:val="24"/>
          <w:lang w:val="en-US"/>
        </w:rPr>
        <w:t xml:space="preserve"> </w:t>
      </w:r>
      <w:r w:rsidR="00814B31">
        <w:rPr>
          <w:rFonts w:ascii="Arial" w:hAnsi="Arial" w:cs="Arial"/>
          <w:sz w:val="24"/>
          <w:szCs w:val="24"/>
          <w:lang w:val="en-US"/>
        </w:rPr>
        <w:fldChar w:fldCharType="begin" w:fldLock="1"/>
      </w:r>
      <w:r w:rsidR="00814B31">
        <w:rPr>
          <w:rFonts w:ascii="Arial" w:hAnsi="Arial" w:cs="Arial"/>
          <w:sz w:val="24"/>
          <w:szCs w:val="24"/>
          <w:lang w:val="en-US"/>
        </w:rPr>
        <w:instrText>ADDIN CSL_CITATION { "citationItems" : [ { "id" : "ITEM-1", "itemData" : { "abstract" : "Large-scale studies complement meta-analyses in that the strengths of large-scale studies often address the weaknesses of meta-analysis. Conversely, some of the strengths of meta-analysis are weaknesses of large-scale studies. For example, large-scale studies tend to be carried out by a limited number of researchers using a given set of measures and conditions. The purpose of the present study was to investigate the construct of specific reading comprehension disability using a large scale. The data was supplied by Florida\u2019s Progress Monitoring and Reporting Network (PMRN) database. Understanding the educational needs of students who comprehend poorly is critical for developing programs that teachers can use to improve reading comprehension for struggling readers.", "author" : [ { "dropping-particle" : "", "family" : "Wagner", "given" : "Richard K.", "non-dropping-particle" : "", "parse-names" : false, "suffix" : "" }, { "dropping-particle" : "", "family" : "Ridgewell", "given" : "Caitlin", "non-dropping-particle" : "", "parse-names" : false, "suffix" : "" } ], "container-title" : "Perspectives on language and literacy", "id" : "ITEM-1", "issue" : "5", "issued" : { "date-parts" : [ [ "2009" ] ] }, "page" : "27\u201331", "title" : "A Large-Scale Study of Specific Reading Comprehension Disability", "type" : "article-journal", "volume" : "35" }, "uris" : [ "http://www.mendeley.com/documents/?uuid=24d9fa68-b92b-4cd8-8c77-7998296f007e" ] } ], "mendeley" : { "formattedCitation" : "(Wagner &amp; Ridgewell, 2009)", "plainTextFormattedCitation" : "(Wagner &amp; Ridgewell, 2009)", "previouslyFormattedCitation" : "(Wagner &amp; Ridgewell, 2009)" }, "properties" : { "noteIndex" : 0 }, "schema" : "https://github.com/citation-style-language/schema/raw/master/csl-citation.json" }</w:instrText>
      </w:r>
      <w:r w:rsidR="00814B31">
        <w:rPr>
          <w:rFonts w:ascii="Arial" w:hAnsi="Arial" w:cs="Arial"/>
          <w:sz w:val="24"/>
          <w:szCs w:val="24"/>
          <w:lang w:val="en-US"/>
        </w:rPr>
        <w:fldChar w:fldCharType="separate"/>
      </w:r>
      <w:r w:rsidR="00814B31" w:rsidRPr="00814B31">
        <w:rPr>
          <w:rFonts w:ascii="Arial" w:hAnsi="Arial" w:cs="Arial"/>
          <w:noProof/>
          <w:sz w:val="24"/>
          <w:szCs w:val="24"/>
          <w:lang w:val="en-US"/>
        </w:rPr>
        <w:t>(Wagner &amp; Ridgewell, 2009)</w:t>
      </w:r>
      <w:r w:rsidR="00814B31">
        <w:rPr>
          <w:rFonts w:ascii="Arial" w:hAnsi="Arial" w:cs="Arial"/>
          <w:sz w:val="24"/>
          <w:szCs w:val="24"/>
          <w:lang w:val="en-US"/>
        </w:rPr>
        <w:fldChar w:fldCharType="end"/>
      </w:r>
      <w:r w:rsidR="00814B31">
        <w:rPr>
          <w:rFonts w:ascii="Arial" w:hAnsi="Arial" w:cs="Arial"/>
          <w:sz w:val="24"/>
          <w:szCs w:val="24"/>
          <w:lang w:val="en-US"/>
        </w:rPr>
        <w:t xml:space="preserve"> </w:t>
      </w:r>
      <w:r w:rsidR="00833342">
        <w:rPr>
          <w:rFonts w:ascii="Arial" w:hAnsi="Arial" w:cs="Arial"/>
          <w:sz w:val="24"/>
          <w:szCs w:val="24"/>
          <w:lang w:val="en-US"/>
        </w:rPr>
        <w:t xml:space="preserve">and </w:t>
      </w:r>
      <w:r w:rsidR="003254B1" w:rsidRPr="0083318A">
        <w:rPr>
          <w:rFonts w:ascii="Arial" w:hAnsi="Arial" w:cs="Arial"/>
          <w:sz w:val="24"/>
          <w:szCs w:val="24"/>
          <w:lang w:val="en-US"/>
        </w:rPr>
        <w:t>in turn influences academic performance</w:t>
      </w:r>
      <w:r w:rsidR="00814B31">
        <w:rPr>
          <w:rFonts w:ascii="Arial" w:hAnsi="Arial" w:cs="Arial"/>
          <w:sz w:val="24"/>
          <w:szCs w:val="24"/>
          <w:lang w:val="en-US"/>
        </w:rPr>
        <w:t xml:space="preserve"> </w:t>
      </w:r>
      <w:r w:rsidR="00814B31">
        <w:rPr>
          <w:rFonts w:ascii="Arial" w:hAnsi="Arial" w:cs="Arial"/>
          <w:sz w:val="24"/>
          <w:szCs w:val="24"/>
          <w:lang w:val="en-US"/>
        </w:rPr>
        <w:fldChar w:fldCharType="begin" w:fldLock="1"/>
      </w:r>
      <w:r w:rsidR="00814B31">
        <w:rPr>
          <w:rFonts w:ascii="Arial" w:hAnsi="Arial" w:cs="Arial"/>
          <w:sz w:val="24"/>
          <w:szCs w:val="24"/>
          <w:lang w:val="en-US"/>
        </w:rPr>
        <w:instrText>ADDIN CSL_CITATION { "citationItems" : [ { "id" : "ITEM-1", "itemData" : { "DOI" : "10.1371", "abstract" : "Based on the assumption that good decoding skills constitute a bootstrapping mechanism for reading comprehension, the present study investigated the relative contribution of the former skill to the latter compared to that of three other predictors of reading comprehension (listening comprehension, vocabulary and phonemic awareness) in 392 French-speaking first graders from low SES families. This large sample was split into three groups according to their level of decoding skills assessed by pseudoword reading. Using a cutoff of 1 SD above or below the mean of the entire population, there were 63 good decoders, 267 average decoders and 62 poor decoders. 58% of the variance in reading comprehension was explained by our four predictors, with decoding skills proving to be the best predictor (12.1%, 7.3% for listening comprehension, 4.6% for vocabulary and 3.3% for phonemic awareness). Interaction between group versus decoding skills, listening comprehension and phonemic awareness accounted for significant additional variance (3.6%, 1.1% and 1.0%, respectively). The effects on reading comprehension of decoding skills and phonemic awareness were higher in poor and average decoders than in good decoders whereas listening comprehension accounted for more variance in good and average decoders than in poor decoders. Furthermore, the percentage of children with impaired reading comprehension skills was higher in the group of poor decoders (55%) than in the two other groups (average decoders: 7%; good decoders: 0%) and only 6 children (1.5%) had impaired reading comprehension skills with unimpaired decoding skills, listening comprehension or vocabulary. These results challenge the outcomes of studies on \u201cpoor comprehenders\u201d by showing that, at least in first grade, poor reading comprehension is strongly linked to the level of decoding skills.", "author" : [ { "dropping-particle" : "", "family" : "Gentaz", "given" : "Edouard", "non-dropping-particle" : "", "parse-names" : false, "suffix" : "" }, { "dropping-particle" : "", "family" : "Sprenger-Charolles", "given" : "Liliane", "non-dropping-particle" : "", "parse-names" : false, "suffix" : "" }, { "dropping-particle" : "", "family" : "Theurel", "given" : "Anne", "non-dropping-particle" : "", "parse-names" : false, "suffix" : "" } ], "container-title" : "Plos One", "id" : "ITEM-1", "issued" : { "date-parts" : [ [ "2015" ] ] }, "page" : "1-16", "title" : "Differences in the Predictors of Reading Comprehension in First Graders from Low SocioEconomic Status Families with Either Good or Poor Decoding Skills", "type" : "article-journal" }, "uris" : [ "http://www.mendeley.com/documents/?uuid=b123b9f3-c8d9-438f-b43e-113f1a88baac" ] }, { "id" : "ITEM-2", "itemData" : { "abstract" : "Large-scale studies complement meta-analyses in that the strengths of large-scale studies often address the weaknesses of meta-analysis. Conversely, some of the strengths of meta-analysis are weaknesses of large-scale studies. For example, large-scale studies tend to be carried out by a limited number of researchers using a given set of measures and conditions. The purpose of the present study was to investigate the construct of specific reading comprehension disability using a large scale. The data was supplied by Florida\u2019s Progress Monitoring and Reporting Network (PMRN) database. Understanding the educational needs of students who comprehend poorly is critical for developing programs that teachers can use to improve reading comprehension for struggling readers.", "author" : [ { "dropping-particle" : "", "family" : "Wagner", "given" : "Richard K.", "non-dropping-particle" : "", "parse-names" : false, "suffix" : "" }, { "dropping-particle" : "", "family" : "Ridgewell", "given" : "Caitlin", "non-dropping-particle" : "", "parse-names" : false, "suffix" : "" } ], "container-title" : "Perspectives on language and literacy", "id" : "ITEM-2", "issue" : "5", "issued" : { "date-parts" : [ [ "2009" ] ] }, "page" : "27\u201331", "title" : "A Large-Scale Study of Specific Reading Comprehension Disability", "type" : "article-journal", "volume" : "35" }, "uris" : [ "http://www.mendeley.com/documents/?uuid=24d9fa68-b92b-4cd8-8c77-7998296f007e" ] } ], "mendeley" : { "formattedCitation" : "(Gentaz, Sprenger-Charolles, &amp; Theurel, 2015; Wagner &amp; Ridgewell, 2009)", "plainTextFormattedCitation" : "(Gentaz, Sprenger-Charolles, &amp; Theurel, 2015; Wagner &amp; Ridgewell, 2009)", "previouslyFormattedCitation" : "(Gentaz, Sprenger-Charolles, &amp; Theurel, 2015; Wagner &amp; Ridgewell, 2009)" }, "properties" : { "noteIndex" : 0 }, "schema" : "https://github.com/citation-style-language/schema/raw/master/csl-citation.json" }</w:instrText>
      </w:r>
      <w:r w:rsidR="00814B31">
        <w:rPr>
          <w:rFonts w:ascii="Arial" w:hAnsi="Arial" w:cs="Arial"/>
          <w:sz w:val="24"/>
          <w:szCs w:val="24"/>
          <w:lang w:val="en-US"/>
        </w:rPr>
        <w:fldChar w:fldCharType="separate"/>
      </w:r>
      <w:r w:rsidR="00814B31" w:rsidRPr="00814B31">
        <w:rPr>
          <w:rFonts w:ascii="Arial" w:hAnsi="Arial" w:cs="Arial"/>
          <w:noProof/>
          <w:sz w:val="24"/>
          <w:szCs w:val="24"/>
          <w:lang w:val="en-US"/>
        </w:rPr>
        <w:t>(Gentaz, Sprenger-Charolles, &amp; Theurel, 2015; Wagner &amp; Ridgewell, 2009)</w:t>
      </w:r>
      <w:r w:rsidR="00814B31">
        <w:rPr>
          <w:rFonts w:ascii="Arial" w:hAnsi="Arial" w:cs="Arial"/>
          <w:sz w:val="24"/>
          <w:szCs w:val="24"/>
          <w:lang w:val="en-US"/>
        </w:rPr>
        <w:fldChar w:fldCharType="end"/>
      </w:r>
      <w:r w:rsidR="00814B31">
        <w:rPr>
          <w:rFonts w:ascii="Arial" w:hAnsi="Arial" w:cs="Arial"/>
          <w:sz w:val="24"/>
          <w:szCs w:val="24"/>
          <w:lang w:val="en-US"/>
        </w:rPr>
        <w:t xml:space="preserve">. </w:t>
      </w:r>
      <w:r w:rsidR="003254B1" w:rsidRPr="0083318A">
        <w:rPr>
          <w:rFonts w:ascii="Arial" w:hAnsi="Arial" w:cs="Arial"/>
          <w:sz w:val="24"/>
          <w:szCs w:val="24"/>
          <w:lang w:val="en-US"/>
        </w:rPr>
        <w:t xml:space="preserve">Studies also indicate that the use of visual and verbal resources, including graphic organizers, contributes to the activation of the working memory </w:t>
      </w:r>
      <w:r w:rsidR="003254B1" w:rsidRPr="00CC6D5C">
        <w:rPr>
          <w:rFonts w:ascii="Arial" w:hAnsi="Arial" w:cs="Arial"/>
          <w:sz w:val="24"/>
          <w:szCs w:val="24"/>
          <w:lang w:val="en-US"/>
        </w:rPr>
        <w:t>passive subsystems</w:t>
      </w:r>
      <w:r w:rsidR="006F6C20">
        <w:rPr>
          <w:rFonts w:ascii="Arial" w:hAnsi="Arial" w:cs="Arial"/>
          <w:sz w:val="24"/>
          <w:szCs w:val="24"/>
          <w:lang w:val="en-US"/>
        </w:rPr>
        <w:t xml:space="preserve"> (visuospatial sketchpad and phonological loop)</w:t>
      </w:r>
      <w:r w:rsidR="00CE1181">
        <w:rPr>
          <w:rFonts w:ascii="Arial" w:hAnsi="Arial" w:cs="Arial"/>
          <w:sz w:val="24"/>
          <w:szCs w:val="24"/>
          <w:lang w:val="en-US"/>
        </w:rPr>
        <w:t>.</w:t>
      </w:r>
    </w:p>
    <w:p w:rsidR="007D3BF7" w:rsidRDefault="007D3BF7" w:rsidP="00495F65">
      <w:pPr>
        <w:spacing w:line="360" w:lineRule="auto"/>
        <w:jc w:val="both"/>
        <w:rPr>
          <w:rFonts w:ascii="Arial" w:hAnsi="Arial" w:cs="Arial"/>
          <w:sz w:val="24"/>
          <w:szCs w:val="24"/>
          <w:lang w:val="en-US"/>
        </w:rPr>
      </w:pPr>
      <w:r>
        <w:rPr>
          <w:noProof/>
          <w:lang w:val="en-ZA" w:eastAsia="en-ZA"/>
        </w:rPr>
        <w:lastRenderedPageBreak/>
        <w:drawing>
          <wp:inline distT="0" distB="0" distL="0" distR="0" wp14:anchorId="5973F400" wp14:editId="506495BE">
            <wp:extent cx="4220870" cy="2824550"/>
            <wp:effectExtent l="0" t="0" r="825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9677" t="13976" r="31034" b="39259"/>
                    <a:stretch/>
                  </pic:blipFill>
                  <pic:spPr bwMode="auto">
                    <a:xfrm>
                      <a:off x="0" y="0"/>
                      <a:ext cx="4238982" cy="2836670"/>
                    </a:xfrm>
                    <a:prstGeom prst="rect">
                      <a:avLst/>
                    </a:prstGeom>
                    <a:ln>
                      <a:noFill/>
                    </a:ln>
                    <a:extLst>
                      <a:ext uri="{53640926-AAD7-44D8-BBD7-CCE9431645EC}">
                        <a14:shadowObscured xmlns:a14="http://schemas.microsoft.com/office/drawing/2010/main"/>
                      </a:ext>
                    </a:extLst>
                  </pic:spPr>
                </pic:pic>
              </a:graphicData>
            </a:graphic>
          </wp:inline>
        </w:drawing>
      </w:r>
    </w:p>
    <w:p w:rsidR="007D3BF7" w:rsidRPr="007D3BF7" w:rsidRDefault="007D3BF7" w:rsidP="00495F65">
      <w:pPr>
        <w:spacing w:line="360" w:lineRule="auto"/>
        <w:jc w:val="both"/>
        <w:rPr>
          <w:rFonts w:ascii="Arial" w:hAnsi="Arial" w:cs="Arial"/>
          <w:szCs w:val="24"/>
          <w:lang w:val="en-US"/>
        </w:rPr>
      </w:pPr>
      <w:r>
        <w:rPr>
          <w:sz w:val="20"/>
        </w:rPr>
        <w:t>(Figure</w:t>
      </w:r>
      <w:r w:rsidRPr="007D3BF7">
        <w:rPr>
          <w:sz w:val="20"/>
        </w:rPr>
        <w:t xml:space="preserve"> from</w:t>
      </w:r>
      <w:r w:rsidR="00C60787">
        <w:rPr>
          <w:sz w:val="20"/>
        </w:rPr>
        <w:t xml:space="preserve"> </w:t>
      </w:r>
      <w:r w:rsidR="00C60787">
        <w:rPr>
          <w:sz w:val="20"/>
        </w:rPr>
        <w:fldChar w:fldCharType="begin" w:fldLock="1"/>
      </w:r>
      <w:r w:rsidR="00C60787">
        <w:rPr>
          <w:sz w:val="20"/>
        </w:rPr>
        <w:instrText>ADDIN CSL_CITATION { "citationItems" : [ { "id" : "ITEM-1", "itemData" : { "abstract" : "There are a number of ways one can hope to describe and explain cognitive abilities, each of them contributing a unique and valuable perspective. Cognitive psychology tries to develop and test functional accounts of cognitive systems that explain the capacities and properties of cognitive abilities as revealed by empirical data gathered by a range of behavioral experimental paradigms. Much of the research in the cognitive psychology of working memory has been strongly influenced by the multi-component model of working memory [Baddeley AD, Hitch GJ (1974) Working memory. In: Recent advances in learning and motivation, Vol. 8 (Bower GA, ed), pp 47\u201390. New York: Academic Press; Baddeley AD (1986) Working memory. Oxford, UK: Clarendon Press; Baddeley A. Working memory: Thought and action. Oxford: Oxford University Press, in press]. By expanding the notion of a passive short-term memory to an active system that provides the basis for complex cognitive abilities, the model has opened up numerous questions and new lines of research. In this paper we present the current revision of the multi-component model that encompasses a central executive, two unimodal storage systems: a phonological loop and a visuospatial sketchpad, and a further component, a multimodal store capable of integrating information into unitary episodic representations, termed episodic buffer. We review recent empirical data within experimental cognitive psychology that has shaped the development of the multicomponent model and the understanding of the capacities and properties of working memory. Research based largely on dual-task experimental designs and on neuropsychological evidence has yielded valuable information about the fractionation of working memory into independent stores and processes, the nature of representations in individual stores, the mechanisms of their maintenance and manipulation, the way the components of working memory relate to each other, and the role they play in other cognitive abilities. With many questions still open and new issues emerging, we believe that the multicomponent model will continue to stimulate research while providing a comprehensive functional description of working memory.", "author" : [ { "dropping-particle" : "", "family" : "REPOV\u0160", "given" : "G.", "non-dropping-particle" : "", "parse-names" : false, "suffix" : "" }, { "dropping-particle" : "", "family" : "BADDELEY", "given" : "A.", "non-dropping-particle" : "", "parse-names" : false, "suffix" : "" } ], "container-title" : "Journal of Neuroscience", "id" : "ITEM-1", "issued" : { "date-parts" : [ [ "2006" ] ] }, "page" : "5-21", "title" : "THE MULTI-COMPONENT MODEL OF WORKING MEMORY: EXPLORATIONS IN EXPERIMENTAL COGNITIVE PSYCHOLOGY", "type" : "article-journal", "volume" : "139" }, "uris" : [ "http://www.mendeley.com/documents/?uuid=5e3f17f9-2bb1-439d-8a73-8aeca70e6336" ] } ], "mendeley" : { "formattedCitation" : "(REPOV\u0160 &amp; BADDELEY, 2006)", "manualFormatting" : "REPOV\u0160 &amp; BADDELEY, 2006)", "plainTextFormattedCitation" : "(REPOV\u0160 &amp; BADDELEY, 2006)", "previouslyFormattedCitation" : "(REPOV\u0160 &amp; BADDELEY, 2006)" }, "properties" : { "noteIndex" : 0 }, "schema" : "https://github.com/citation-style-language/schema/raw/master/csl-citation.json" }</w:instrText>
      </w:r>
      <w:r w:rsidR="00C60787">
        <w:rPr>
          <w:sz w:val="20"/>
        </w:rPr>
        <w:fldChar w:fldCharType="separate"/>
      </w:r>
      <w:r w:rsidR="00C60787" w:rsidRPr="00C60787">
        <w:rPr>
          <w:noProof/>
          <w:sz w:val="20"/>
        </w:rPr>
        <w:t>REPOVŠ &amp; BADDELEY, 2006)</w:t>
      </w:r>
      <w:r w:rsidR="00C60787">
        <w:rPr>
          <w:sz w:val="20"/>
        </w:rPr>
        <w:fldChar w:fldCharType="end"/>
      </w:r>
    </w:p>
    <w:p w:rsidR="007D3BF7" w:rsidRDefault="007D3BF7" w:rsidP="00495F65">
      <w:pPr>
        <w:spacing w:line="360" w:lineRule="auto"/>
        <w:jc w:val="both"/>
        <w:rPr>
          <w:rFonts w:ascii="Arial" w:hAnsi="Arial" w:cs="Arial"/>
          <w:sz w:val="24"/>
          <w:szCs w:val="24"/>
          <w:lang w:val="en-US"/>
        </w:rPr>
      </w:pPr>
    </w:p>
    <w:p w:rsidR="00DE10C6" w:rsidRDefault="00DE10C6" w:rsidP="00495F65">
      <w:pPr>
        <w:spacing w:line="360" w:lineRule="auto"/>
        <w:jc w:val="both"/>
        <w:rPr>
          <w:rFonts w:ascii="Arial" w:hAnsi="Arial" w:cs="Arial"/>
          <w:sz w:val="24"/>
          <w:szCs w:val="24"/>
          <w:lang w:val="en-US"/>
        </w:rPr>
      </w:pPr>
      <w:proofErr w:type="spellStart"/>
      <w:r w:rsidRPr="00BB763E">
        <w:rPr>
          <w:rFonts w:ascii="Arial" w:hAnsi="Arial" w:cs="Arial"/>
          <w:sz w:val="24"/>
          <w:szCs w:val="24"/>
          <w:lang w:val="en-US"/>
        </w:rPr>
        <w:t>Mapas</w:t>
      </w:r>
      <w:proofErr w:type="spellEnd"/>
      <w:r w:rsidRPr="00BB763E">
        <w:rPr>
          <w:rFonts w:ascii="Arial" w:hAnsi="Arial" w:cs="Arial"/>
          <w:sz w:val="24"/>
          <w:szCs w:val="24"/>
          <w:lang w:val="en-US"/>
        </w:rPr>
        <w:t xml:space="preserve"> </w:t>
      </w:r>
      <w:proofErr w:type="spellStart"/>
      <w:r w:rsidRPr="00BB763E">
        <w:rPr>
          <w:rFonts w:ascii="Arial" w:hAnsi="Arial" w:cs="Arial"/>
          <w:sz w:val="24"/>
          <w:szCs w:val="24"/>
          <w:lang w:val="en-US"/>
        </w:rPr>
        <w:t>Pensantes</w:t>
      </w:r>
      <w:proofErr w:type="spellEnd"/>
      <w:r w:rsidRPr="00BB763E">
        <w:rPr>
          <w:rFonts w:ascii="Arial" w:hAnsi="Arial" w:cs="Arial"/>
          <w:sz w:val="24"/>
          <w:szCs w:val="24"/>
          <w:lang w:val="en-US"/>
        </w:rPr>
        <w:t xml:space="preserve">® </w:t>
      </w:r>
      <w:r w:rsidR="00063E9E" w:rsidRPr="00BB763E">
        <w:rPr>
          <w:rFonts w:ascii="Arial" w:hAnsi="Arial" w:cs="Arial"/>
          <w:sz w:val="24"/>
          <w:szCs w:val="24"/>
          <w:lang w:val="en-US"/>
        </w:rPr>
        <w:t>is a</w:t>
      </w:r>
      <w:r w:rsidR="00F27B28" w:rsidRPr="00BB763E">
        <w:rPr>
          <w:rFonts w:ascii="Arial" w:hAnsi="Arial" w:cs="Arial"/>
          <w:sz w:val="24"/>
          <w:szCs w:val="24"/>
          <w:lang w:val="en-US"/>
        </w:rPr>
        <w:t xml:space="preserve"> </w:t>
      </w:r>
      <w:r w:rsidRPr="00BB763E">
        <w:rPr>
          <w:rFonts w:ascii="Arial" w:hAnsi="Arial" w:cs="Arial"/>
          <w:sz w:val="24"/>
          <w:szCs w:val="24"/>
          <w:lang w:val="en-US"/>
        </w:rPr>
        <w:t xml:space="preserve">visual </w:t>
      </w:r>
      <w:r w:rsidR="00BB763E">
        <w:rPr>
          <w:rFonts w:ascii="Arial" w:hAnsi="Arial" w:cs="Arial"/>
          <w:sz w:val="24"/>
          <w:szCs w:val="24"/>
          <w:lang w:val="en-US"/>
        </w:rPr>
        <w:t>learning</w:t>
      </w:r>
      <w:r w:rsidR="00063E9E" w:rsidRPr="00BB763E">
        <w:rPr>
          <w:rFonts w:ascii="Arial" w:hAnsi="Arial" w:cs="Arial"/>
          <w:sz w:val="24"/>
          <w:szCs w:val="24"/>
          <w:lang w:val="en-US"/>
        </w:rPr>
        <w:t xml:space="preserve"> system</w:t>
      </w:r>
      <w:r w:rsidR="00B26B04" w:rsidRPr="00BB763E">
        <w:rPr>
          <w:rFonts w:ascii="Arial" w:hAnsi="Arial" w:cs="Arial"/>
          <w:sz w:val="24"/>
          <w:szCs w:val="24"/>
          <w:lang w:val="en-US"/>
        </w:rPr>
        <w:t xml:space="preserve"> </w:t>
      </w:r>
      <w:r w:rsidRPr="00BB763E">
        <w:rPr>
          <w:rFonts w:ascii="Arial" w:hAnsi="Arial" w:cs="Arial"/>
          <w:sz w:val="24"/>
          <w:szCs w:val="24"/>
          <w:lang w:val="en-US"/>
        </w:rPr>
        <w:t>contribut</w:t>
      </w:r>
      <w:r w:rsidR="00063E9E" w:rsidRPr="00BB763E">
        <w:rPr>
          <w:rFonts w:ascii="Arial" w:hAnsi="Arial" w:cs="Arial"/>
          <w:sz w:val="24"/>
          <w:szCs w:val="24"/>
          <w:lang w:val="en-US"/>
        </w:rPr>
        <w:t>ing</w:t>
      </w:r>
      <w:r w:rsidRPr="00BB763E">
        <w:rPr>
          <w:rFonts w:ascii="Arial" w:hAnsi="Arial" w:cs="Arial"/>
          <w:sz w:val="24"/>
          <w:szCs w:val="24"/>
          <w:lang w:val="en-US"/>
        </w:rPr>
        <w:t xml:space="preserve"> to</w:t>
      </w:r>
      <w:r w:rsidR="00F27B28" w:rsidRPr="00BB763E">
        <w:rPr>
          <w:rFonts w:ascii="Arial" w:hAnsi="Arial" w:cs="Arial"/>
          <w:sz w:val="24"/>
          <w:szCs w:val="24"/>
          <w:lang w:val="en-US"/>
        </w:rPr>
        <w:t>wards enhanced</w:t>
      </w:r>
      <w:r w:rsidRPr="00BB763E">
        <w:rPr>
          <w:rFonts w:ascii="Arial" w:hAnsi="Arial" w:cs="Arial"/>
          <w:sz w:val="24"/>
          <w:szCs w:val="24"/>
          <w:lang w:val="en-US"/>
        </w:rPr>
        <w:t xml:space="preserve"> academic performance</w:t>
      </w:r>
      <w:r w:rsidR="00BB763E">
        <w:rPr>
          <w:rFonts w:ascii="Arial" w:hAnsi="Arial" w:cs="Arial"/>
          <w:sz w:val="24"/>
          <w:szCs w:val="24"/>
          <w:lang w:val="en-US"/>
        </w:rPr>
        <w:t xml:space="preserve"> –</w:t>
      </w:r>
      <w:r w:rsidR="00F96BF6">
        <w:rPr>
          <w:rFonts w:ascii="Arial" w:hAnsi="Arial" w:cs="Arial"/>
          <w:sz w:val="24"/>
          <w:szCs w:val="24"/>
          <w:lang w:val="en-US"/>
        </w:rPr>
        <w:t xml:space="preserve"> </w:t>
      </w:r>
      <w:r w:rsidR="00BB763E">
        <w:rPr>
          <w:rFonts w:ascii="Arial" w:hAnsi="Arial" w:cs="Arial"/>
          <w:sz w:val="24"/>
          <w:szCs w:val="24"/>
          <w:lang w:val="en-US"/>
        </w:rPr>
        <w:t xml:space="preserve">because of the </w:t>
      </w:r>
      <w:r w:rsidRPr="00BB763E">
        <w:rPr>
          <w:rFonts w:ascii="Arial" w:hAnsi="Arial" w:cs="Arial"/>
          <w:sz w:val="24"/>
          <w:szCs w:val="24"/>
          <w:lang w:val="en-US"/>
        </w:rPr>
        <w:t>parallel use of visual aids</w:t>
      </w:r>
      <w:r w:rsidR="00063E9E" w:rsidRPr="00BB763E">
        <w:rPr>
          <w:rFonts w:ascii="Arial" w:hAnsi="Arial" w:cs="Arial"/>
          <w:sz w:val="24"/>
          <w:szCs w:val="24"/>
          <w:lang w:val="en-US"/>
        </w:rPr>
        <w:t>,</w:t>
      </w:r>
      <w:r w:rsidRPr="00BB763E">
        <w:rPr>
          <w:rFonts w:ascii="Arial" w:hAnsi="Arial" w:cs="Arial"/>
          <w:sz w:val="24"/>
          <w:szCs w:val="24"/>
          <w:lang w:val="en-US"/>
        </w:rPr>
        <w:t xml:space="preserve"> written and spoken language</w:t>
      </w:r>
      <w:r w:rsidR="00814B31">
        <w:rPr>
          <w:rFonts w:ascii="Arial" w:hAnsi="Arial" w:cs="Arial"/>
          <w:sz w:val="24"/>
          <w:szCs w:val="24"/>
          <w:lang w:val="en-US"/>
        </w:rPr>
        <w:t xml:space="preserve"> </w:t>
      </w:r>
      <w:r w:rsidR="00814B31">
        <w:rPr>
          <w:rFonts w:ascii="Arial" w:hAnsi="Arial" w:cs="Arial"/>
          <w:sz w:val="24"/>
          <w:szCs w:val="24"/>
          <w:lang w:val="en-US"/>
        </w:rPr>
        <w:fldChar w:fldCharType="begin" w:fldLock="1"/>
      </w:r>
      <w:r w:rsidR="00814B31">
        <w:rPr>
          <w:rFonts w:ascii="Arial" w:hAnsi="Arial" w:cs="Arial"/>
          <w:sz w:val="24"/>
          <w:szCs w:val="24"/>
          <w:lang w:val="en-US"/>
        </w:rPr>
        <w:instrText>ADDIN CSL_CITATION { "citationItems" : [ { "id" : "ITEM-1", "itemData" : { "abstract" : "The overall purpose of this mixed method research design was to examine whether teachers in a large urban Midwestern district used Thinking Maps\u00ae (Appendix A) with students in elementary school general education and special education classrooms. In addition, this study examined the use of Thinking Maps\u00ae with boys in three elementary classrooms: one-second grade, one fourth grade, and one classroom for the learning disabled. Students\u2019 attitudes and comprehension toward reading with respect to the district\u2019s core reading program and literature read-alouds was the focus. Utilizing Thinking Maps\u00ae yielded important information about strategies to promote reading comprehension and motivation to read in urban elementary school males.", "author" : [ { "dropping-particle" : "", "family" : "Edwards", "given" : "Patricia", "non-dropping-particle" : "", "parse-names" : false, "suffix" : "" } ], "id" : "ITEM-1", "issued" : { "date-parts" : [ [ "2011" ] ] }, "publisher" : "Oakland University", "title" : "Utilizing Thinking Maps\u00ae to Promote Reading Comprehension and Motivation to Read in Urban Elementary School Males", "type" : "thesis" }, "uris" : [ "http://www.mendeley.com/documents/?uuid=ae44dfaa-5ded-4b5a-abd5-8ef10f9ddcfc" ] }, { "id" : "ITEM-2", "itemData" : { "abstract" : "Reading comprehension in learning disabled students can be increased with the classroom implementation of visual tools. Student performance was measured using MU S reading scores before and after the introduction of Thinking Maps, i.e., a set of visual tools which are centered on the development of eight thinking processes. By integrating this common visual language throughout the school's curriculum, it was projected that more effective and efficient learning would be achieved. Assessment results indicated that reading comprehension was increased; it was also observed by classroom teachers that levels of performance rose overall in the following areas: concept attainment, reflective thinking, recall, retention, writing (quantity and quality), creativity, motivation, and cooperative learning skills. These findings are congruent with a multitude of research studies and support the position that student performance can be increased with the implementation of visual tools.", "author" : [ { "dropping-particle" : "", "family" : "Manning", "given" : "Cynthia M.", "non-dropping-particle" : "", "parse-names" : false, "suffix" : "" } ], "id" : "ITEM-2", "issued" : { "date-parts" : [ [ "2003" ] ] }, "publisher" : "Eastern Nazarene College", "title" : "Improving Reading Comprehension through Visual Tools", "type" : "thesis" }, "uris" : [ "http://www.mendeley.com/documents/?uuid=d046cf1f-a476-4efe-9171-f9083721ad69" ] }, { "id" : "ITEM-3", "itemData" : { "abstract" : "This study describes how teachers of two urban suburban schools with large numbers of English language learners (ELLs) used Thinking Maps as a cognitive model resulting in student\u2019s improved academic language development. Teachers used Thinking Maps that included a common cognitive language that transcended grade levels and disciplines. An antecedent condition for these results was school-wide professional development of teachers\u2019 expertise using Thinking Maps. Teachers\u2019 anecdotal reports and samples of student work gave evidence to this researcher\u2019s hypothesis: participating schools that implemented cognitive visual tools improved the academic language development of all their students. A phenomenological methodology was used to guide a descriptive qualitative study. Interviews and a survey served as the instruments for collecting data to gain insight into the factors that support teachers\u2019 capacities to influence ELLs\u2019 development of academic language.Findings of the study revealed a conceptual framework: a Model for Full Access for High Achievement in which five essential components describe the successful use of Thinking Map to teach ELLs. The research provides recommendations for administrators and teachers regarding the application of the Model for Full Access for High Achievement. A whole-school approach for teachers utilizing a common, cognitive tool proved significant in supporting ELLs, one of the most vulnerable sub-groups of students pressured to perform by the challenges of Common Core Standards. The study concludes that additional research (e.g., longitudinal studies, mixed populations etc.) needs to be conducted on the efficacy of Thinking Maps to improve academic achievement among ELLs, as well as students with special needs and struggling learners.", "author" : [ { "dropping-particle" : "", "family" : "Lopez", "given" : "Estrella", "non-dropping-particle" : "", "parse-names" : false, "suffix" : "" } ], "id" : "ITEM-3", "issue" : "August", "issued" : { "date-parts" : [ [ "2011" ] ] }, "number-of-pages" : "244", "publisher" : "St. John Fisher College", "title" : "The Effect of a Cognitive Model, Thinking Maps, on the Academic Language Development of English Language Learners", "type" : "thesis" }, "uris" : [ "http://www.mendeley.com/documents/?uuid=10f41db6-75d9-400f-8e2f-a3432747ef5f" ] }, { "id" : "ITEM-4", "itemData" : { "ISBN" : "978-1-4129-2427-6", "abstract" : "In Visual Tools for Transforming Information into Knowledge (2nd edition), David Hyerle takes the concept of visual tools to new heights. He provides a strong theoretical base by starting with the mapping metaphor.", "author" : [ { "dropping-particle" : "", "family" : "Hyerle", "given" : "D.", "non-dropping-particle" : "", "parse-names" : false, "suffix" : "" } ], "edition" : "2nd", "id" : "ITEM-4", "issued" : { "date-parts" : [ [ "2009" ] ] }, "number-of-pages" : "162", "publisher" : "SAGE Publications", "publisher-place" : "Thousand Oaks, California", "title" : "Visual Tools for Transforming Information into Knowledge", "type" : "book" }, "uris" : [ "http://www.mendeley.com/documents/?uuid=7a9d03bc-9b93-4f05-95fe-45aadb37b956" ] }, { "id" : "ITEM-5", "itemData" : { "abstract" : "Neuroscientists tell us that the brain organizes information in networks and maps. What better way to teach students to think about ideas and organize and express their ideas than to use the very same method that the brain uses. This book provides an invaluable way to help our students truly understand and retain the concepts behind the facts, and to do this in an exciting and motivating way.", "author" : [ { "dropping-particle" : "", "family" : "Hyerle", "given" : "D.", "non-dropping-particle" : "", "parse-names" : false, "suffix" : "" }, { "dropping-particle" : "", "family" : "Alper", "given" : "L.", "non-dropping-particle" : "", "parse-names" : false, "suffix" : "" } ], "edition" : "2\u00aa edi\u00e7\u00e3o", "id" : "ITEM-5", "issued" : { "date-parts" : [ [ "2011" ] ] }, "publisher" : "A Sage Company", "publisher-place" : "Corwin", "title" : "Students Successes with Thinking Maps \u2013 School Based Research, Results, and Models for Achievement Using Visual Tools.", "type" : "book" }, "uris" : [ "http://www.mendeley.com/documents/?uuid=78c8af73-a955-4fa6-8f0b-4616b1bbf793" ] } ], "mendeley" : { "formattedCitation" : "(Edwards, 2011; Hyerle &amp; Alper, 2011; Hyerle, 2009; Lopez, 2011; Manning, 2003)", "plainTextFormattedCitation" : "(Edwards, 2011; Hyerle &amp; Alper, 2011; Hyerle, 2009; Lopez, 2011; Manning, 2003)", "previouslyFormattedCitation" : "(Edwards, 2011; Hyerle &amp; Alper, 2011; Hyerle, 2009; Lopez, 2011; Manning, 2003)" }, "properties" : { "noteIndex" : 0 }, "schema" : "https://github.com/citation-style-language/schema/raw/master/csl-citation.json" }</w:instrText>
      </w:r>
      <w:r w:rsidR="00814B31">
        <w:rPr>
          <w:rFonts w:ascii="Arial" w:hAnsi="Arial" w:cs="Arial"/>
          <w:sz w:val="24"/>
          <w:szCs w:val="24"/>
          <w:lang w:val="en-US"/>
        </w:rPr>
        <w:fldChar w:fldCharType="separate"/>
      </w:r>
      <w:r w:rsidR="00814B31" w:rsidRPr="00814B31">
        <w:rPr>
          <w:rFonts w:ascii="Arial" w:hAnsi="Arial" w:cs="Arial"/>
          <w:noProof/>
          <w:sz w:val="24"/>
          <w:szCs w:val="24"/>
          <w:lang w:val="en-US"/>
        </w:rPr>
        <w:t>(Edwards, 2011; Hyerle &amp; Alper, 2011; Hyerle, 2009; Lopez, 2011; Manning, 2003)</w:t>
      </w:r>
      <w:r w:rsidR="00814B31">
        <w:rPr>
          <w:rFonts w:ascii="Arial" w:hAnsi="Arial" w:cs="Arial"/>
          <w:sz w:val="24"/>
          <w:szCs w:val="24"/>
          <w:lang w:val="en-US"/>
        </w:rPr>
        <w:fldChar w:fldCharType="end"/>
      </w:r>
      <w:r w:rsidR="00F27B28" w:rsidRPr="00BB763E">
        <w:rPr>
          <w:rFonts w:ascii="Arial" w:hAnsi="Arial" w:cs="Arial"/>
          <w:sz w:val="24"/>
          <w:szCs w:val="24"/>
          <w:lang w:val="en-US"/>
        </w:rPr>
        <w:t xml:space="preserve"> </w:t>
      </w:r>
      <w:r w:rsidR="00814B31">
        <w:rPr>
          <w:rFonts w:ascii="Arial" w:hAnsi="Arial" w:cs="Arial"/>
          <w:sz w:val="24"/>
          <w:szCs w:val="24"/>
          <w:lang w:val="en-US"/>
        </w:rPr>
        <w:t>.</w:t>
      </w:r>
      <w:r w:rsidR="00BB763E">
        <w:rPr>
          <w:rFonts w:ascii="Arial" w:hAnsi="Arial" w:cs="Arial"/>
          <w:sz w:val="24"/>
          <w:szCs w:val="24"/>
          <w:lang w:val="en-US"/>
        </w:rPr>
        <w:t xml:space="preserve"> </w:t>
      </w:r>
      <w:r w:rsidR="00F96BF6">
        <w:rPr>
          <w:rFonts w:ascii="Arial" w:hAnsi="Arial" w:cs="Arial"/>
          <w:sz w:val="24"/>
          <w:szCs w:val="24"/>
          <w:lang w:val="en-US"/>
        </w:rPr>
        <w:t>It is contended that th</w:t>
      </w:r>
      <w:r w:rsidRPr="00BB763E">
        <w:rPr>
          <w:rFonts w:ascii="Arial" w:hAnsi="Arial" w:cs="Arial"/>
          <w:sz w:val="24"/>
          <w:szCs w:val="24"/>
          <w:lang w:val="en-US"/>
        </w:rPr>
        <w:t xml:space="preserve">e efficacy of </w:t>
      </w:r>
      <w:proofErr w:type="spellStart"/>
      <w:r w:rsidR="00F27B28" w:rsidRPr="00BB763E">
        <w:rPr>
          <w:rFonts w:ascii="Arial" w:hAnsi="Arial" w:cs="Arial"/>
          <w:sz w:val="24"/>
          <w:szCs w:val="24"/>
          <w:lang w:val="en-US"/>
        </w:rPr>
        <w:t>M</w:t>
      </w:r>
      <w:r w:rsidRPr="00BB763E">
        <w:rPr>
          <w:rFonts w:ascii="Arial" w:hAnsi="Arial" w:cs="Arial"/>
          <w:sz w:val="24"/>
          <w:szCs w:val="24"/>
          <w:lang w:val="en-US"/>
        </w:rPr>
        <w:t>apas</w:t>
      </w:r>
      <w:proofErr w:type="spellEnd"/>
      <w:r w:rsidRPr="00BB763E">
        <w:rPr>
          <w:rFonts w:ascii="Arial" w:hAnsi="Arial" w:cs="Arial"/>
          <w:sz w:val="24"/>
          <w:szCs w:val="24"/>
          <w:lang w:val="en-US"/>
        </w:rPr>
        <w:t xml:space="preserve"> </w:t>
      </w:r>
      <w:proofErr w:type="spellStart"/>
      <w:r w:rsidRPr="00BB763E">
        <w:rPr>
          <w:rFonts w:ascii="Arial" w:hAnsi="Arial" w:cs="Arial"/>
          <w:sz w:val="24"/>
          <w:szCs w:val="24"/>
          <w:lang w:val="en-US"/>
        </w:rPr>
        <w:t>Pensantes</w:t>
      </w:r>
      <w:proofErr w:type="spellEnd"/>
      <w:r w:rsidRPr="00BB763E">
        <w:rPr>
          <w:rFonts w:ascii="Arial" w:hAnsi="Arial" w:cs="Arial"/>
          <w:sz w:val="24"/>
          <w:szCs w:val="24"/>
          <w:lang w:val="en-US"/>
        </w:rPr>
        <w:t xml:space="preserve">® is related to the </w:t>
      </w:r>
      <w:r w:rsidR="0075296B">
        <w:rPr>
          <w:rFonts w:ascii="Arial" w:hAnsi="Arial" w:cs="Arial"/>
          <w:sz w:val="24"/>
          <w:szCs w:val="24"/>
          <w:lang w:val="en-US"/>
        </w:rPr>
        <w:t>activating</w:t>
      </w:r>
      <w:r w:rsidRPr="00BB763E">
        <w:rPr>
          <w:rFonts w:ascii="Arial" w:hAnsi="Arial" w:cs="Arial"/>
          <w:sz w:val="24"/>
          <w:szCs w:val="24"/>
          <w:lang w:val="en-US"/>
        </w:rPr>
        <w:t xml:space="preserve"> of the working memory, according to the multicomponent model</w:t>
      </w:r>
      <w:r w:rsidR="00CC6D5C">
        <w:rPr>
          <w:rFonts w:ascii="Arial" w:hAnsi="Arial" w:cs="Arial"/>
          <w:sz w:val="24"/>
          <w:szCs w:val="24"/>
          <w:lang w:val="en-US"/>
        </w:rPr>
        <w:t xml:space="preserve"> </w:t>
      </w:r>
      <w:r w:rsidR="00CC6D5C">
        <w:rPr>
          <w:rFonts w:ascii="Arial" w:hAnsi="Arial" w:cs="Arial"/>
          <w:sz w:val="24"/>
          <w:szCs w:val="24"/>
          <w:lang w:val="en-US"/>
        </w:rPr>
        <w:fldChar w:fldCharType="begin" w:fldLock="1"/>
      </w:r>
      <w:r w:rsidR="00CC6D5C">
        <w:rPr>
          <w:rFonts w:ascii="Arial" w:hAnsi="Arial" w:cs="Arial"/>
          <w:sz w:val="24"/>
          <w:szCs w:val="24"/>
          <w:lang w:val="en-US"/>
        </w:rPr>
        <w:instrText>ADDIN CSL_CITATION { "citationItems" : [ { "id" : "ITEM-1", "itemData" : { "DOI" : "10.1037/xlm0000002", "abstract" : "How does executive attentional control contribute to memory for sequences of visual objects, and what does this reveal about storage and processing in working memory? Three experiments examined the impact of a concurrent executive load (backward counting) on memory for sequences of individually presented visual objects. Experiments 1 and 2 found disruptive concurrent load effects of equivalent magnitude on memory for shapes, colors, and colored shape conjunctions (as measured by single-probe recognition). These effects were present only for Items 1 and 2 in a 3-item sequence; the final item was always impervious to this disruption. This pattern of findings was precisely replicated in Experiment 3 when using a cued verbal recall measure of shape\u2013color binding, with error analysis providing additional insights concerning attention-related loss of early-sequence items. These findings indicate an important role for executive processes in maintaining representations of earlier encountered stimuli in an active form alongside privileged storage of the most recent stimulus.", "author" : [ { "dropping-particle" : "", "family" : "Allen", "given" : "Richard J.", "non-dropping-particle" : "", "parse-names" : false, "suffix" : "" }, { "dropping-particle" : "", "family" : "Baddeley", "given" : "A. D.", "non-dropping-particle" : "", "parse-names" : false, "suffix" : "" }, { "dropping-particle" : "", "family" : "Hitch", "given" : "Graham J.", "non-dropping-particle" : "", "parse-names" : false, "suffix" : "" } ], "container-title" : "Journal of Experimental Psychology: Learning, Memory, and Cognition", "id" : "ITEM-1", "issue" : "6", "issued" : { "date-parts" : [ [ "2014" ] ] }, "page" : "1499 \u20131509", "title" : "Evidence for Two Attentional Components in Visual Working Memory", "type" : "article-journal", "volume" : "40" }, "uris" : [ "http://www.mendeley.com/documents/?uuid=8393df0c-8229-4314-af89-74ca14699639" ] } ], "mendeley" : { "formattedCitation" : "(Allen, Baddeley, &amp; Hitch, 2014)", "plainTextFormattedCitation" : "(Allen, Baddeley, &amp; Hitch, 2014)", "previouslyFormattedCitation" : "(Allen, Baddeley, &amp; Hitch, 2014)" }, "properties" : { "noteIndex" : 0 }, "schema" : "https://github.com/citation-style-language/schema/raw/master/csl-citation.json" }</w:instrText>
      </w:r>
      <w:r w:rsidR="00CC6D5C">
        <w:rPr>
          <w:rFonts w:ascii="Arial" w:hAnsi="Arial" w:cs="Arial"/>
          <w:sz w:val="24"/>
          <w:szCs w:val="24"/>
          <w:lang w:val="en-US"/>
        </w:rPr>
        <w:fldChar w:fldCharType="separate"/>
      </w:r>
      <w:r w:rsidR="00CC6D5C" w:rsidRPr="00814B31">
        <w:rPr>
          <w:rFonts w:ascii="Arial" w:hAnsi="Arial" w:cs="Arial"/>
          <w:noProof/>
          <w:sz w:val="24"/>
          <w:szCs w:val="24"/>
          <w:lang w:val="en-US"/>
        </w:rPr>
        <w:t>(Allen, Baddeley, &amp; Hitch, 2014)</w:t>
      </w:r>
      <w:r w:rsidR="00CC6D5C">
        <w:rPr>
          <w:rFonts w:ascii="Arial" w:hAnsi="Arial" w:cs="Arial"/>
          <w:sz w:val="24"/>
          <w:szCs w:val="24"/>
          <w:lang w:val="en-US"/>
        </w:rPr>
        <w:fldChar w:fldCharType="end"/>
      </w:r>
      <w:r w:rsidR="00CC6D5C">
        <w:rPr>
          <w:rFonts w:ascii="Arial" w:hAnsi="Arial" w:cs="Arial"/>
          <w:sz w:val="24"/>
          <w:szCs w:val="24"/>
          <w:lang w:val="en-US"/>
        </w:rPr>
        <w:t>.</w:t>
      </w:r>
      <w:r w:rsidR="00BB763E">
        <w:rPr>
          <w:rFonts w:ascii="Arial" w:hAnsi="Arial" w:cs="Arial"/>
          <w:sz w:val="24"/>
          <w:szCs w:val="24"/>
          <w:lang w:val="en-US"/>
        </w:rPr>
        <w:t xml:space="preserve"> </w:t>
      </w:r>
      <w:r w:rsidRPr="00DE10C6">
        <w:rPr>
          <w:rFonts w:ascii="Arial" w:hAnsi="Arial" w:cs="Arial"/>
          <w:sz w:val="24"/>
          <w:szCs w:val="24"/>
          <w:lang w:val="en-US"/>
        </w:rPr>
        <w:t xml:space="preserve">It is important to understand how the use of </w:t>
      </w:r>
      <w:proofErr w:type="spellStart"/>
      <w:r w:rsidRPr="0083318A">
        <w:rPr>
          <w:rFonts w:ascii="Arial" w:hAnsi="Arial" w:cs="Arial"/>
          <w:sz w:val="24"/>
          <w:szCs w:val="24"/>
          <w:lang w:val="en-US"/>
        </w:rPr>
        <w:t>Mapas</w:t>
      </w:r>
      <w:proofErr w:type="spellEnd"/>
      <w:r w:rsidRPr="0083318A">
        <w:rPr>
          <w:rFonts w:ascii="Arial" w:hAnsi="Arial" w:cs="Arial"/>
          <w:sz w:val="24"/>
          <w:szCs w:val="24"/>
          <w:lang w:val="en-US"/>
        </w:rPr>
        <w:t xml:space="preserve"> </w:t>
      </w:r>
      <w:proofErr w:type="spellStart"/>
      <w:r w:rsidRPr="0083318A">
        <w:rPr>
          <w:rFonts w:ascii="Arial" w:hAnsi="Arial" w:cs="Arial"/>
          <w:sz w:val="24"/>
          <w:szCs w:val="24"/>
          <w:lang w:val="en-US"/>
        </w:rPr>
        <w:t>Pensantes</w:t>
      </w:r>
      <w:proofErr w:type="spellEnd"/>
      <w:r w:rsidRPr="0083318A">
        <w:rPr>
          <w:rFonts w:ascii="Arial" w:hAnsi="Arial" w:cs="Arial"/>
          <w:sz w:val="24"/>
          <w:szCs w:val="24"/>
          <w:lang w:val="en-US"/>
        </w:rPr>
        <w:t>®</w:t>
      </w:r>
      <w:r w:rsidR="007D3BF7">
        <w:rPr>
          <w:rFonts w:ascii="Arial" w:hAnsi="Arial" w:cs="Arial"/>
          <w:sz w:val="24"/>
          <w:szCs w:val="24"/>
          <w:lang w:val="en-US"/>
        </w:rPr>
        <w:t xml:space="preserve"> </w:t>
      </w:r>
      <w:r w:rsidRPr="00DE10C6">
        <w:rPr>
          <w:rFonts w:ascii="Arial" w:hAnsi="Arial" w:cs="Arial"/>
          <w:sz w:val="24"/>
          <w:szCs w:val="24"/>
          <w:lang w:val="en-US"/>
        </w:rPr>
        <w:t xml:space="preserve">can activate both the phonological loop and the visuospatial </w:t>
      </w:r>
      <w:r w:rsidR="00CC6D5C" w:rsidRPr="00DE10C6">
        <w:rPr>
          <w:rFonts w:ascii="Arial" w:hAnsi="Arial" w:cs="Arial"/>
          <w:sz w:val="24"/>
          <w:szCs w:val="24"/>
          <w:lang w:val="en-US"/>
        </w:rPr>
        <w:t>sketch</w:t>
      </w:r>
      <w:r w:rsidR="00CC6D5C">
        <w:rPr>
          <w:rFonts w:ascii="Arial" w:hAnsi="Arial" w:cs="Arial"/>
          <w:sz w:val="24"/>
          <w:szCs w:val="24"/>
          <w:lang w:val="en-US"/>
        </w:rPr>
        <w:t>pad</w:t>
      </w:r>
      <w:r w:rsidR="00BA67E0">
        <w:rPr>
          <w:rFonts w:ascii="Arial" w:hAnsi="Arial" w:cs="Arial"/>
          <w:sz w:val="24"/>
          <w:szCs w:val="24"/>
          <w:lang w:val="en-US"/>
        </w:rPr>
        <w:t>,</w:t>
      </w:r>
      <w:r w:rsidR="00CE1181">
        <w:rPr>
          <w:rFonts w:ascii="Arial" w:hAnsi="Arial" w:cs="Arial"/>
          <w:sz w:val="24"/>
          <w:szCs w:val="24"/>
          <w:lang w:val="en-US"/>
        </w:rPr>
        <w:t xml:space="preserve"> for example</w:t>
      </w:r>
      <w:r w:rsidRPr="00DE10C6">
        <w:rPr>
          <w:rFonts w:ascii="Arial" w:hAnsi="Arial" w:cs="Arial"/>
          <w:sz w:val="24"/>
          <w:szCs w:val="24"/>
          <w:lang w:val="en-US"/>
        </w:rPr>
        <w:t xml:space="preserve"> </w:t>
      </w:r>
      <w:r w:rsidR="00BB763E">
        <w:rPr>
          <w:rFonts w:ascii="Arial" w:hAnsi="Arial" w:cs="Arial"/>
          <w:sz w:val="24"/>
          <w:szCs w:val="24"/>
          <w:lang w:val="en-US"/>
        </w:rPr>
        <w:t xml:space="preserve">it is suggested that </w:t>
      </w:r>
      <w:r w:rsidRPr="00DE10C6">
        <w:rPr>
          <w:rFonts w:ascii="Arial" w:hAnsi="Arial" w:cs="Arial"/>
          <w:sz w:val="24"/>
          <w:szCs w:val="24"/>
          <w:lang w:val="en-US"/>
        </w:rPr>
        <w:t>the</w:t>
      </w:r>
      <w:r w:rsidR="0075296B" w:rsidRPr="0075296B">
        <w:rPr>
          <w:rFonts w:ascii="Arial" w:hAnsi="Arial" w:cs="Arial"/>
          <w:sz w:val="24"/>
          <w:szCs w:val="24"/>
          <w:lang w:val="en-US"/>
        </w:rPr>
        <w:t xml:space="preserve"> process</w:t>
      </w:r>
      <w:r w:rsidR="0075296B">
        <w:rPr>
          <w:rFonts w:ascii="Arial" w:hAnsi="Arial" w:cs="Arial"/>
          <w:sz w:val="24"/>
          <w:szCs w:val="24"/>
          <w:lang w:val="en-US"/>
        </w:rPr>
        <w:t>es</w:t>
      </w:r>
      <w:r w:rsidR="0075296B" w:rsidRPr="0075296B">
        <w:rPr>
          <w:rFonts w:ascii="Arial" w:hAnsi="Arial" w:cs="Arial"/>
          <w:sz w:val="24"/>
          <w:szCs w:val="24"/>
          <w:lang w:val="en-US"/>
        </w:rPr>
        <w:t xml:space="preserve"> of</w:t>
      </w:r>
      <w:r w:rsidR="0075296B">
        <w:rPr>
          <w:rFonts w:ascii="Arial" w:hAnsi="Arial" w:cs="Arial"/>
          <w:sz w:val="24"/>
          <w:szCs w:val="24"/>
          <w:lang w:val="en-US"/>
        </w:rPr>
        <w:t xml:space="preserve"> </w:t>
      </w:r>
      <w:r w:rsidRPr="00DE10C6">
        <w:rPr>
          <w:rFonts w:ascii="Arial" w:hAnsi="Arial" w:cs="Arial"/>
          <w:sz w:val="24"/>
          <w:szCs w:val="24"/>
          <w:lang w:val="en-US"/>
        </w:rPr>
        <w:t xml:space="preserve"> binding and chunking </w:t>
      </w:r>
      <w:r w:rsidR="00063E9E" w:rsidRPr="00CC6D5C">
        <w:rPr>
          <w:rFonts w:ascii="Arial" w:hAnsi="Arial" w:cs="Arial"/>
          <w:sz w:val="24"/>
          <w:szCs w:val="24"/>
          <w:lang w:val="en-US"/>
        </w:rPr>
        <w:t xml:space="preserve"> information</w:t>
      </w:r>
      <w:r w:rsidRPr="00CC6D5C">
        <w:rPr>
          <w:rFonts w:ascii="Arial" w:hAnsi="Arial" w:cs="Arial"/>
          <w:sz w:val="24"/>
          <w:szCs w:val="24"/>
          <w:lang w:val="en-US"/>
        </w:rPr>
        <w:t xml:space="preserve"> </w:t>
      </w:r>
      <w:r w:rsidRPr="00DE10C6">
        <w:rPr>
          <w:rFonts w:ascii="Arial" w:hAnsi="Arial" w:cs="Arial"/>
          <w:sz w:val="24"/>
          <w:szCs w:val="24"/>
          <w:lang w:val="en-US"/>
        </w:rPr>
        <w:t>seem</w:t>
      </w:r>
      <w:r w:rsidR="00063E9E">
        <w:rPr>
          <w:rFonts w:ascii="Arial" w:hAnsi="Arial" w:cs="Arial"/>
          <w:sz w:val="24"/>
          <w:szCs w:val="24"/>
          <w:lang w:val="en-US"/>
        </w:rPr>
        <w:t>s</w:t>
      </w:r>
      <w:r w:rsidRPr="00DE10C6">
        <w:rPr>
          <w:rFonts w:ascii="Arial" w:hAnsi="Arial" w:cs="Arial"/>
          <w:sz w:val="24"/>
          <w:szCs w:val="24"/>
          <w:lang w:val="en-US"/>
        </w:rPr>
        <w:t xml:space="preserve"> to be triggered during the creation of the </w:t>
      </w:r>
      <w:proofErr w:type="spellStart"/>
      <w:r w:rsidRPr="0083318A">
        <w:rPr>
          <w:rFonts w:ascii="Arial" w:hAnsi="Arial" w:cs="Arial"/>
          <w:sz w:val="24"/>
          <w:szCs w:val="24"/>
          <w:lang w:val="en-US"/>
        </w:rPr>
        <w:t>Mapas</w:t>
      </w:r>
      <w:proofErr w:type="spellEnd"/>
      <w:r w:rsidRPr="0083318A">
        <w:rPr>
          <w:rFonts w:ascii="Arial" w:hAnsi="Arial" w:cs="Arial"/>
          <w:sz w:val="24"/>
          <w:szCs w:val="24"/>
          <w:lang w:val="en-US"/>
        </w:rPr>
        <w:t xml:space="preserve"> </w:t>
      </w:r>
      <w:proofErr w:type="spellStart"/>
      <w:r w:rsidRPr="0083318A">
        <w:rPr>
          <w:rFonts w:ascii="Arial" w:hAnsi="Arial" w:cs="Arial"/>
          <w:sz w:val="24"/>
          <w:szCs w:val="24"/>
          <w:lang w:val="en-US"/>
        </w:rPr>
        <w:t>Pensantes</w:t>
      </w:r>
      <w:proofErr w:type="spellEnd"/>
      <w:r w:rsidRPr="0083318A">
        <w:rPr>
          <w:rFonts w:ascii="Arial" w:hAnsi="Arial" w:cs="Arial"/>
          <w:sz w:val="24"/>
          <w:szCs w:val="24"/>
          <w:lang w:val="en-US"/>
        </w:rPr>
        <w:t>®</w:t>
      </w:r>
      <w:r w:rsidR="008B4FB4">
        <w:rPr>
          <w:rFonts w:ascii="Arial" w:hAnsi="Arial" w:cs="Arial"/>
          <w:sz w:val="24"/>
          <w:szCs w:val="24"/>
          <w:lang w:val="en-US"/>
        </w:rPr>
        <w:t xml:space="preserve">. The </w:t>
      </w:r>
      <w:r w:rsidRPr="00DE10C6">
        <w:rPr>
          <w:rFonts w:ascii="Arial" w:hAnsi="Arial" w:cs="Arial"/>
          <w:sz w:val="24"/>
          <w:szCs w:val="24"/>
          <w:lang w:val="en-US"/>
        </w:rPr>
        <w:t xml:space="preserve">application </w:t>
      </w:r>
      <w:r w:rsidR="008B4FB4">
        <w:rPr>
          <w:rFonts w:ascii="Arial" w:hAnsi="Arial" w:cs="Arial"/>
          <w:sz w:val="24"/>
          <w:szCs w:val="24"/>
          <w:lang w:val="en-US"/>
        </w:rPr>
        <w:t xml:space="preserve">of </w:t>
      </w:r>
      <w:proofErr w:type="spellStart"/>
      <w:r w:rsidR="008B4FB4">
        <w:rPr>
          <w:rFonts w:ascii="Arial" w:hAnsi="Arial" w:cs="Arial"/>
          <w:sz w:val="24"/>
          <w:szCs w:val="24"/>
          <w:lang w:val="en-US"/>
        </w:rPr>
        <w:t>Mapas</w:t>
      </w:r>
      <w:proofErr w:type="spellEnd"/>
      <w:r w:rsidR="008B4FB4">
        <w:rPr>
          <w:rFonts w:ascii="Arial" w:hAnsi="Arial" w:cs="Arial"/>
          <w:sz w:val="24"/>
          <w:szCs w:val="24"/>
          <w:lang w:val="en-US"/>
        </w:rPr>
        <w:t xml:space="preserve"> </w:t>
      </w:r>
      <w:proofErr w:type="spellStart"/>
      <w:r w:rsidR="008B4FB4">
        <w:rPr>
          <w:rFonts w:ascii="Arial" w:hAnsi="Arial" w:cs="Arial"/>
          <w:sz w:val="24"/>
          <w:szCs w:val="24"/>
          <w:lang w:val="en-US"/>
        </w:rPr>
        <w:t>Pensantes</w:t>
      </w:r>
      <w:proofErr w:type="spellEnd"/>
      <w:r w:rsidR="008B4FB4">
        <w:rPr>
          <w:rFonts w:ascii="Arial" w:hAnsi="Arial" w:cs="Arial"/>
          <w:sz w:val="24"/>
          <w:szCs w:val="24"/>
          <w:lang w:val="en-US"/>
        </w:rPr>
        <w:t xml:space="preserve"> </w:t>
      </w:r>
      <w:r w:rsidRPr="00DE10C6">
        <w:rPr>
          <w:rFonts w:ascii="Arial" w:hAnsi="Arial" w:cs="Arial"/>
          <w:sz w:val="24"/>
          <w:szCs w:val="24"/>
          <w:lang w:val="en-US"/>
        </w:rPr>
        <w:t xml:space="preserve">involves both the connection </w:t>
      </w:r>
      <w:r w:rsidR="00F96BF6">
        <w:rPr>
          <w:rFonts w:ascii="Arial" w:hAnsi="Arial" w:cs="Arial"/>
          <w:sz w:val="24"/>
          <w:szCs w:val="24"/>
          <w:lang w:val="en-US"/>
        </w:rPr>
        <w:t xml:space="preserve">of </w:t>
      </w:r>
      <w:r w:rsidRPr="00DE10C6">
        <w:rPr>
          <w:rFonts w:ascii="Arial" w:hAnsi="Arial" w:cs="Arial"/>
          <w:sz w:val="24"/>
          <w:szCs w:val="24"/>
          <w:lang w:val="en-US"/>
        </w:rPr>
        <w:t>information</w:t>
      </w:r>
      <w:r w:rsidR="00BB763E">
        <w:rPr>
          <w:rFonts w:ascii="Arial" w:hAnsi="Arial" w:cs="Arial"/>
          <w:sz w:val="24"/>
          <w:szCs w:val="24"/>
          <w:lang w:val="en-US"/>
        </w:rPr>
        <w:t xml:space="preserve"> sources</w:t>
      </w:r>
      <w:r w:rsidRPr="00DE10C6">
        <w:rPr>
          <w:rFonts w:ascii="Arial" w:hAnsi="Arial" w:cs="Arial"/>
          <w:sz w:val="24"/>
          <w:szCs w:val="24"/>
          <w:lang w:val="en-US"/>
        </w:rPr>
        <w:t xml:space="preserve"> from different sensory modalities (binding) a</w:t>
      </w:r>
      <w:r w:rsidR="00BB763E">
        <w:rPr>
          <w:rFonts w:ascii="Arial" w:hAnsi="Arial" w:cs="Arial"/>
          <w:sz w:val="24"/>
          <w:szCs w:val="24"/>
          <w:lang w:val="en-US"/>
        </w:rPr>
        <w:t>nd</w:t>
      </w:r>
      <w:r w:rsidRPr="00DE10C6">
        <w:rPr>
          <w:rFonts w:ascii="Arial" w:hAnsi="Arial" w:cs="Arial"/>
          <w:sz w:val="24"/>
          <w:szCs w:val="24"/>
          <w:lang w:val="en-US"/>
        </w:rPr>
        <w:t xml:space="preserve"> the integration of information units into</w:t>
      </w:r>
      <w:r>
        <w:rPr>
          <w:rFonts w:ascii="Arial" w:hAnsi="Arial" w:cs="Arial"/>
          <w:sz w:val="24"/>
          <w:szCs w:val="24"/>
          <w:lang w:val="en-US"/>
        </w:rPr>
        <w:t xml:space="preserve"> larger agglomerates (chunking)</w:t>
      </w:r>
      <w:r w:rsidRPr="00DE10C6">
        <w:rPr>
          <w:rFonts w:ascii="Arial" w:hAnsi="Arial" w:cs="Arial"/>
          <w:sz w:val="24"/>
          <w:szCs w:val="24"/>
          <w:lang w:val="en-US"/>
        </w:rPr>
        <w:t>.</w:t>
      </w:r>
    </w:p>
    <w:p w:rsidR="00495F65" w:rsidRDefault="00DE10C6" w:rsidP="00495F65">
      <w:pPr>
        <w:spacing w:line="360" w:lineRule="auto"/>
        <w:jc w:val="both"/>
        <w:rPr>
          <w:rFonts w:ascii="Arial" w:hAnsi="Arial" w:cs="Arial"/>
          <w:sz w:val="24"/>
          <w:szCs w:val="24"/>
          <w:lang w:val="en-US"/>
        </w:rPr>
      </w:pPr>
      <w:r>
        <w:rPr>
          <w:rFonts w:ascii="Arial" w:hAnsi="Arial" w:cs="Arial"/>
          <w:sz w:val="24"/>
          <w:szCs w:val="24"/>
          <w:lang w:val="en-US"/>
        </w:rPr>
        <w:t>My research</w:t>
      </w:r>
      <w:r w:rsidR="0074004A">
        <w:rPr>
          <w:rFonts w:ascii="Arial" w:hAnsi="Arial" w:cs="Arial"/>
          <w:sz w:val="24"/>
          <w:szCs w:val="24"/>
          <w:lang w:val="en-US"/>
        </w:rPr>
        <w:t xml:space="preserve"> recommends that </w:t>
      </w:r>
      <w:r w:rsidR="0013202B" w:rsidRPr="0083318A">
        <w:rPr>
          <w:rFonts w:ascii="Arial" w:hAnsi="Arial" w:cs="Arial"/>
          <w:sz w:val="24"/>
          <w:szCs w:val="24"/>
          <w:lang w:val="en-US"/>
        </w:rPr>
        <w:t>improve</w:t>
      </w:r>
      <w:r w:rsidR="0074004A">
        <w:rPr>
          <w:rFonts w:ascii="Arial" w:hAnsi="Arial" w:cs="Arial"/>
          <w:sz w:val="24"/>
          <w:szCs w:val="24"/>
          <w:lang w:val="en-US"/>
        </w:rPr>
        <w:t xml:space="preserve">d methods </w:t>
      </w:r>
      <w:r w:rsidR="00BB763E">
        <w:rPr>
          <w:rFonts w:ascii="Arial" w:hAnsi="Arial" w:cs="Arial"/>
          <w:sz w:val="24"/>
          <w:szCs w:val="24"/>
          <w:lang w:val="en-US"/>
        </w:rPr>
        <w:t>should be</w:t>
      </w:r>
      <w:r w:rsidR="0074004A">
        <w:rPr>
          <w:rFonts w:ascii="Arial" w:hAnsi="Arial" w:cs="Arial"/>
          <w:sz w:val="24"/>
          <w:szCs w:val="24"/>
          <w:lang w:val="en-US"/>
        </w:rPr>
        <w:t xml:space="preserve"> </w:t>
      </w:r>
      <w:r w:rsidR="009D1F9B">
        <w:rPr>
          <w:rFonts w:ascii="Arial" w:hAnsi="Arial" w:cs="Arial"/>
          <w:sz w:val="24"/>
          <w:szCs w:val="24"/>
          <w:lang w:val="en-US"/>
        </w:rPr>
        <w:t xml:space="preserve">developed </w:t>
      </w:r>
      <w:r w:rsidR="0074004A">
        <w:rPr>
          <w:rFonts w:ascii="Arial" w:hAnsi="Arial" w:cs="Arial"/>
          <w:sz w:val="24"/>
          <w:szCs w:val="24"/>
          <w:lang w:val="en-US"/>
        </w:rPr>
        <w:t xml:space="preserve">to assess </w:t>
      </w:r>
      <w:r w:rsidR="0013202B" w:rsidRPr="0083318A">
        <w:rPr>
          <w:rFonts w:ascii="Arial" w:hAnsi="Arial" w:cs="Arial"/>
          <w:sz w:val="24"/>
          <w:szCs w:val="24"/>
          <w:lang w:val="en-US"/>
        </w:rPr>
        <w:t>reading comprehension</w:t>
      </w:r>
      <w:r w:rsidR="0074004A">
        <w:rPr>
          <w:rFonts w:ascii="Arial" w:hAnsi="Arial" w:cs="Arial"/>
          <w:sz w:val="24"/>
          <w:szCs w:val="24"/>
          <w:lang w:val="en-US"/>
        </w:rPr>
        <w:t xml:space="preserve"> </w:t>
      </w:r>
      <w:r w:rsidR="0013202B" w:rsidRPr="0083318A">
        <w:rPr>
          <w:rFonts w:ascii="Arial" w:hAnsi="Arial" w:cs="Arial"/>
          <w:sz w:val="24"/>
          <w:szCs w:val="24"/>
          <w:lang w:val="en-US"/>
        </w:rPr>
        <w:t xml:space="preserve">for adolescents and adults in </w:t>
      </w:r>
      <w:r w:rsidR="00540E58" w:rsidRPr="0083318A">
        <w:rPr>
          <w:rFonts w:ascii="Arial" w:hAnsi="Arial" w:cs="Arial"/>
          <w:sz w:val="24"/>
          <w:szCs w:val="24"/>
          <w:lang w:val="en-US"/>
        </w:rPr>
        <w:t>Brazil</w:t>
      </w:r>
      <w:r w:rsidR="00BB763E">
        <w:rPr>
          <w:rFonts w:ascii="Arial" w:hAnsi="Arial" w:cs="Arial"/>
          <w:sz w:val="24"/>
          <w:szCs w:val="24"/>
          <w:lang w:val="en-US"/>
        </w:rPr>
        <w:t>. Such research would assist to generate better</w:t>
      </w:r>
      <w:r w:rsidR="00872277">
        <w:rPr>
          <w:rFonts w:ascii="Arial" w:hAnsi="Arial" w:cs="Arial"/>
          <w:sz w:val="24"/>
          <w:szCs w:val="24"/>
          <w:lang w:val="en-US"/>
        </w:rPr>
        <w:t xml:space="preserve"> </w:t>
      </w:r>
      <w:r w:rsidR="000A0133" w:rsidRPr="0083318A">
        <w:rPr>
          <w:rFonts w:ascii="Arial" w:hAnsi="Arial" w:cs="Arial"/>
          <w:sz w:val="24"/>
          <w:szCs w:val="24"/>
          <w:lang w:val="en-US"/>
        </w:rPr>
        <w:t>indicators for measuring</w:t>
      </w:r>
      <w:r w:rsidR="0013202B" w:rsidRPr="0083318A">
        <w:rPr>
          <w:rFonts w:ascii="Arial" w:hAnsi="Arial" w:cs="Arial"/>
          <w:sz w:val="24"/>
          <w:szCs w:val="24"/>
          <w:lang w:val="en-US"/>
        </w:rPr>
        <w:t xml:space="preserve"> </w:t>
      </w:r>
      <w:r w:rsidR="000A0133" w:rsidRPr="0083318A">
        <w:rPr>
          <w:rFonts w:ascii="Arial" w:hAnsi="Arial" w:cs="Arial"/>
          <w:sz w:val="24"/>
          <w:szCs w:val="24"/>
          <w:lang w:val="en-US"/>
        </w:rPr>
        <w:t xml:space="preserve">reading comprehension </w:t>
      </w:r>
      <w:r w:rsidR="0013202B" w:rsidRPr="0083318A">
        <w:rPr>
          <w:rFonts w:ascii="Arial" w:hAnsi="Arial" w:cs="Arial"/>
          <w:sz w:val="24"/>
          <w:szCs w:val="24"/>
          <w:lang w:val="en-US"/>
        </w:rPr>
        <w:t xml:space="preserve">and thus </w:t>
      </w:r>
      <w:r w:rsidR="00872277">
        <w:rPr>
          <w:rFonts w:ascii="Arial" w:hAnsi="Arial" w:cs="Arial"/>
          <w:sz w:val="24"/>
          <w:szCs w:val="24"/>
          <w:lang w:val="en-US"/>
        </w:rPr>
        <w:t>lead toward</w:t>
      </w:r>
      <w:r w:rsidR="00BB763E">
        <w:rPr>
          <w:rFonts w:ascii="Arial" w:hAnsi="Arial" w:cs="Arial"/>
          <w:sz w:val="24"/>
          <w:szCs w:val="24"/>
          <w:lang w:val="en-US"/>
        </w:rPr>
        <w:t>s</w:t>
      </w:r>
      <w:r w:rsidR="00872277">
        <w:rPr>
          <w:rFonts w:ascii="Arial" w:hAnsi="Arial" w:cs="Arial"/>
          <w:sz w:val="24"/>
          <w:szCs w:val="24"/>
          <w:lang w:val="en-US"/>
        </w:rPr>
        <w:t xml:space="preserve"> the development of </w:t>
      </w:r>
      <w:r w:rsidR="0013202B" w:rsidRPr="0083318A">
        <w:rPr>
          <w:rFonts w:ascii="Arial" w:hAnsi="Arial" w:cs="Arial"/>
          <w:sz w:val="24"/>
          <w:szCs w:val="24"/>
          <w:lang w:val="en-US"/>
        </w:rPr>
        <w:t xml:space="preserve">more effective </w:t>
      </w:r>
      <w:r w:rsidR="000A0133" w:rsidRPr="0083318A">
        <w:rPr>
          <w:rFonts w:ascii="Arial" w:hAnsi="Arial" w:cs="Arial"/>
          <w:sz w:val="24"/>
          <w:szCs w:val="24"/>
          <w:lang w:val="en-US"/>
        </w:rPr>
        <w:t>intervention strategies</w:t>
      </w:r>
      <w:r w:rsidR="0013202B" w:rsidRPr="0083318A">
        <w:rPr>
          <w:rFonts w:ascii="Arial" w:hAnsi="Arial" w:cs="Arial"/>
          <w:sz w:val="24"/>
          <w:szCs w:val="24"/>
          <w:lang w:val="en-US"/>
        </w:rPr>
        <w:t>.</w:t>
      </w:r>
      <w:r w:rsidR="003254B1" w:rsidRPr="0083318A">
        <w:rPr>
          <w:rFonts w:ascii="Arial" w:hAnsi="Arial" w:cs="Arial"/>
          <w:sz w:val="24"/>
          <w:szCs w:val="24"/>
          <w:lang w:val="en-US"/>
        </w:rPr>
        <w:t xml:space="preserve"> </w:t>
      </w:r>
    </w:p>
    <w:p w:rsidR="008B4FB4" w:rsidRDefault="008B4FB4" w:rsidP="00495F65">
      <w:pPr>
        <w:spacing w:line="360" w:lineRule="auto"/>
        <w:jc w:val="both"/>
        <w:rPr>
          <w:rFonts w:ascii="Arial" w:hAnsi="Arial" w:cs="Arial"/>
          <w:sz w:val="24"/>
          <w:szCs w:val="24"/>
          <w:lang w:val="en-US"/>
        </w:rPr>
      </w:pPr>
    </w:p>
    <w:p w:rsidR="00A6043D" w:rsidRDefault="00A6043D" w:rsidP="00495F65">
      <w:pPr>
        <w:spacing w:line="360" w:lineRule="auto"/>
        <w:jc w:val="both"/>
        <w:rPr>
          <w:rFonts w:ascii="Arial" w:hAnsi="Arial" w:cs="Arial"/>
          <w:sz w:val="24"/>
          <w:szCs w:val="24"/>
          <w:lang w:val="en-US"/>
        </w:rPr>
      </w:pPr>
      <w:r>
        <w:rPr>
          <w:rFonts w:ascii="Arial" w:hAnsi="Arial" w:cs="Arial"/>
          <w:sz w:val="24"/>
          <w:szCs w:val="24"/>
          <w:lang w:val="en-US"/>
        </w:rPr>
        <w:lastRenderedPageBreak/>
        <w:t xml:space="preserve">Examples of the </w:t>
      </w:r>
      <w:proofErr w:type="spellStart"/>
      <w:r>
        <w:rPr>
          <w:rFonts w:ascii="Arial" w:hAnsi="Arial" w:cs="Arial"/>
          <w:sz w:val="24"/>
          <w:szCs w:val="24"/>
          <w:lang w:val="en-US"/>
        </w:rPr>
        <w:t>Mapas</w:t>
      </w:r>
      <w:proofErr w:type="spellEnd"/>
      <w:r>
        <w:rPr>
          <w:rFonts w:ascii="Arial" w:hAnsi="Arial" w:cs="Arial"/>
          <w:sz w:val="24"/>
          <w:szCs w:val="24"/>
          <w:lang w:val="en-US"/>
        </w:rPr>
        <w:t xml:space="preserve"> </w:t>
      </w:r>
      <w:proofErr w:type="spellStart"/>
      <w:r>
        <w:rPr>
          <w:rFonts w:ascii="Arial" w:hAnsi="Arial" w:cs="Arial"/>
          <w:sz w:val="24"/>
          <w:szCs w:val="24"/>
          <w:lang w:val="en-US"/>
        </w:rPr>
        <w:t>Pensantes</w:t>
      </w:r>
      <w:proofErr w:type="spellEnd"/>
      <w:r>
        <w:rPr>
          <w:rFonts w:ascii="Arial" w:hAnsi="Arial" w:cs="Arial"/>
          <w:sz w:val="24"/>
          <w:szCs w:val="24"/>
          <w:lang w:val="en-US"/>
        </w:rPr>
        <w:t xml:space="preserve">® during intervention research: </w:t>
      </w:r>
    </w:p>
    <w:p w:rsidR="00F1719E" w:rsidRDefault="00F1719E" w:rsidP="00F1719E">
      <w:pPr>
        <w:spacing w:line="360" w:lineRule="auto"/>
        <w:jc w:val="both"/>
        <w:rPr>
          <w:rFonts w:ascii="Arial" w:hAnsi="Arial" w:cs="Arial"/>
          <w:sz w:val="24"/>
          <w:szCs w:val="24"/>
          <w:lang w:val="en-US"/>
        </w:rPr>
      </w:pPr>
      <w:r>
        <w:rPr>
          <w:rFonts w:ascii="Arial" w:hAnsi="Arial" w:cs="Arial"/>
          <w:sz w:val="24"/>
          <w:szCs w:val="24"/>
          <w:lang w:val="en-US"/>
        </w:rPr>
        <w:t>1)</w:t>
      </w:r>
      <w:r w:rsidRPr="00F1719E">
        <w:rPr>
          <w:rFonts w:ascii="Arial" w:hAnsi="Arial" w:cs="Arial"/>
          <w:sz w:val="24"/>
          <w:szCs w:val="24"/>
          <w:lang w:val="en-US"/>
        </w:rPr>
        <w:t xml:space="preserve"> </w:t>
      </w:r>
      <w:r>
        <w:rPr>
          <w:rFonts w:ascii="Arial" w:hAnsi="Arial" w:cs="Arial"/>
          <w:sz w:val="24"/>
          <w:szCs w:val="24"/>
          <w:lang w:val="en-US"/>
        </w:rPr>
        <w:t xml:space="preserve">Thinking of </w:t>
      </w:r>
      <w:r w:rsidRPr="00F1719E">
        <w:rPr>
          <w:rFonts w:ascii="Arial" w:hAnsi="Arial" w:cs="Arial"/>
          <w:sz w:val="24"/>
          <w:szCs w:val="24"/>
          <w:lang w:val="en-US"/>
        </w:rPr>
        <w:t>sustainability</w:t>
      </w:r>
    </w:p>
    <w:p w:rsidR="00A6043D" w:rsidRDefault="00F1719E" w:rsidP="00495F65">
      <w:pPr>
        <w:spacing w:line="360" w:lineRule="auto"/>
        <w:jc w:val="both"/>
        <w:rPr>
          <w:rFonts w:ascii="Arial" w:hAnsi="Arial" w:cs="Arial"/>
          <w:sz w:val="24"/>
          <w:szCs w:val="24"/>
          <w:lang w:val="en-US"/>
        </w:rPr>
      </w:pPr>
      <w:r w:rsidRPr="00F1719E">
        <w:rPr>
          <w:rFonts w:ascii="Arial" w:hAnsi="Arial" w:cs="Arial"/>
          <w:noProof/>
          <w:sz w:val="24"/>
          <w:szCs w:val="24"/>
          <w:lang w:val="en-ZA" w:eastAsia="en-ZA"/>
        </w:rPr>
        <w:drawing>
          <wp:inline distT="0" distB="0" distL="0" distR="0">
            <wp:extent cx="4212183" cy="3160166"/>
            <wp:effectExtent l="0" t="0" r="0" b="2540"/>
            <wp:docPr id="5" name="Imagem 5" descr="C:\Users\Cassiano\Desktop\CARLA\MESTRADO\PROJETO MESTRADO\IMAGENS\IMAGENS MP - GRUPO 1\20141020_MAPAS DEFINIÇÃO e CAUSA EFEI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siano\Desktop\CARLA\MESTRADO\PROJETO MESTRADO\IMAGENS\IMAGENS MP - GRUPO 1\20141020_MAPAS DEFINIÇÃO e CAUSA EFEITO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19635" cy="3165757"/>
                    </a:xfrm>
                    <a:prstGeom prst="rect">
                      <a:avLst/>
                    </a:prstGeom>
                    <a:noFill/>
                    <a:ln>
                      <a:noFill/>
                    </a:ln>
                  </pic:spPr>
                </pic:pic>
              </a:graphicData>
            </a:graphic>
          </wp:inline>
        </w:drawing>
      </w:r>
    </w:p>
    <w:p w:rsidR="00F1719E" w:rsidRDefault="00F1719E" w:rsidP="00F1719E">
      <w:pPr>
        <w:spacing w:line="360" w:lineRule="auto"/>
        <w:jc w:val="both"/>
        <w:rPr>
          <w:rFonts w:ascii="Arial" w:hAnsi="Arial" w:cs="Arial"/>
          <w:sz w:val="24"/>
          <w:szCs w:val="24"/>
          <w:lang w:val="en-US"/>
        </w:rPr>
      </w:pPr>
      <w:r>
        <w:rPr>
          <w:rFonts w:ascii="Arial" w:hAnsi="Arial" w:cs="Arial"/>
          <w:sz w:val="24"/>
          <w:szCs w:val="24"/>
          <w:lang w:val="en-US"/>
        </w:rPr>
        <w:t>2) Different types of writing</w:t>
      </w:r>
    </w:p>
    <w:p w:rsidR="00A6043D" w:rsidRDefault="00F1719E" w:rsidP="00495F65">
      <w:pPr>
        <w:spacing w:line="360" w:lineRule="auto"/>
        <w:jc w:val="both"/>
        <w:rPr>
          <w:rFonts w:ascii="Arial" w:hAnsi="Arial" w:cs="Arial"/>
          <w:sz w:val="24"/>
          <w:szCs w:val="24"/>
          <w:lang w:val="en-US"/>
        </w:rPr>
      </w:pPr>
      <w:r w:rsidRPr="00F1719E">
        <w:rPr>
          <w:rFonts w:ascii="Arial" w:hAnsi="Arial" w:cs="Arial"/>
          <w:noProof/>
          <w:sz w:val="24"/>
          <w:szCs w:val="24"/>
          <w:lang w:val="en-ZA" w:eastAsia="en-ZA"/>
        </w:rPr>
        <w:drawing>
          <wp:inline distT="0" distB="0" distL="0" distR="0">
            <wp:extent cx="4228185" cy="3172171"/>
            <wp:effectExtent l="0" t="0" r="1270" b="9525"/>
            <wp:docPr id="4" name="Imagem 4" descr="C:\Users\Cassiano\Desktop\CARLA\MESTRADO\PROJETO MESTRADO\IMAGENS\IMAGENS MP - GRUPO 1\20141013_MAPA CLASSIFICAÇÃ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siano\Desktop\CARLA\MESTRADO\PROJETO MESTRADO\IMAGENS\IMAGENS MP - GRUPO 1\20141013_MAPA CLASSIFICAÇÃ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0453" cy="3173872"/>
                    </a:xfrm>
                    <a:prstGeom prst="rect">
                      <a:avLst/>
                    </a:prstGeom>
                    <a:noFill/>
                    <a:ln>
                      <a:noFill/>
                    </a:ln>
                  </pic:spPr>
                </pic:pic>
              </a:graphicData>
            </a:graphic>
          </wp:inline>
        </w:drawing>
      </w:r>
    </w:p>
    <w:p w:rsidR="00F1719E" w:rsidRDefault="00F1719E" w:rsidP="00495F65">
      <w:pPr>
        <w:spacing w:line="360" w:lineRule="auto"/>
        <w:jc w:val="both"/>
        <w:rPr>
          <w:rFonts w:ascii="Arial" w:hAnsi="Arial" w:cs="Arial"/>
          <w:sz w:val="24"/>
          <w:szCs w:val="24"/>
          <w:lang w:val="en-US"/>
        </w:rPr>
      </w:pPr>
    </w:p>
    <w:p w:rsidR="00F1719E" w:rsidRDefault="00F1719E" w:rsidP="00495F65">
      <w:pPr>
        <w:spacing w:line="360" w:lineRule="auto"/>
        <w:jc w:val="both"/>
        <w:rPr>
          <w:rFonts w:ascii="Arial" w:hAnsi="Arial" w:cs="Arial"/>
          <w:sz w:val="24"/>
          <w:szCs w:val="24"/>
          <w:lang w:val="en-US"/>
        </w:rPr>
      </w:pPr>
      <w:bookmarkStart w:id="0" w:name="_GoBack"/>
      <w:bookmarkEnd w:id="0"/>
    </w:p>
    <w:p w:rsidR="0075296B" w:rsidRDefault="0075296B" w:rsidP="00495F65">
      <w:pPr>
        <w:spacing w:line="360" w:lineRule="auto"/>
        <w:jc w:val="both"/>
        <w:rPr>
          <w:rFonts w:ascii="Arial" w:hAnsi="Arial" w:cs="Arial"/>
          <w:sz w:val="24"/>
          <w:szCs w:val="24"/>
          <w:lang w:val="en-US"/>
        </w:rPr>
      </w:pPr>
    </w:p>
    <w:p w:rsidR="00F1719E" w:rsidRDefault="00F1719E" w:rsidP="00495F65">
      <w:pPr>
        <w:spacing w:line="360" w:lineRule="auto"/>
        <w:jc w:val="both"/>
        <w:rPr>
          <w:rFonts w:ascii="Arial" w:hAnsi="Arial" w:cs="Arial"/>
          <w:sz w:val="24"/>
          <w:szCs w:val="24"/>
          <w:lang w:val="en-US"/>
        </w:rPr>
      </w:pPr>
      <w:r>
        <w:rPr>
          <w:rFonts w:ascii="Arial" w:hAnsi="Arial" w:cs="Arial"/>
          <w:sz w:val="24"/>
          <w:szCs w:val="24"/>
          <w:lang w:val="en-US"/>
        </w:rPr>
        <w:lastRenderedPageBreak/>
        <w:t xml:space="preserve">3) Sequencing ideas for writing </w:t>
      </w:r>
    </w:p>
    <w:p w:rsidR="00F1719E" w:rsidRDefault="00F1719E" w:rsidP="00495F65">
      <w:pPr>
        <w:spacing w:line="360" w:lineRule="auto"/>
        <w:jc w:val="both"/>
        <w:rPr>
          <w:rFonts w:ascii="Arial" w:hAnsi="Arial" w:cs="Arial"/>
          <w:sz w:val="24"/>
          <w:szCs w:val="24"/>
          <w:lang w:val="en-US"/>
        </w:rPr>
      </w:pPr>
      <w:r w:rsidRPr="00F1719E">
        <w:rPr>
          <w:rFonts w:ascii="Arial" w:hAnsi="Arial" w:cs="Arial"/>
          <w:noProof/>
          <w:sz w:val="24"/>
          <w:szCs w:val="24"/>
          <w:lang w:val="en-ZA" w:eastAsia="en-ZA"/>
        </w:rPr>
        <w:drawing>
          <wp:inline distT="0" distB="0" distL="0" distR="0">
            <wp:extent cx="5400040" cy="4051349"/>
            <wp:effectExtent l="0" t="0" r="0" b="6350"/>
            <wp:docPr id="6" name="Imagem 6" descr="C:\Users\Cassiano\Desktop\CARLA\MESTRADO\PROJETO MESTRADO\IMAGENS\IMAGENS MP - GRUPO 1\20141103_MAPA SEQUENCIAÇÃO ALUNOS FOTOGRAF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ssiano\Desktop\CARLA\MESTRADO\PROJETO MESTRADO\IMAGENS\IMAGENS MP - GRUPO 1\20141103_MAPA SEQUENCIAÇÃO ALUNOS FOTOGRAFAND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4051349"/>
                    </a:xfrm>
                    <a:prstGeom prst="rect">
                      <a:avLst/>
                    </a:prstGeom>
                    <a:noFill/>
                    <a:ln>
                      <a:noFill/>
                    </a:ln>
                  </pic:spPr>
                </pic:pic>
              </a:graphicData>
            </a:graphic>
          </wp:inline>
        </w:drawing>
      </w:r>
    </w:p>
    <w:p w:rsidR="007866BB" w:rsidRDefault="007866BB" w:rsidP="00495F65">
      <w:pPr>
        <w:spacing w:line="360" w:lineRule="auto"/>
        <w:jc w:val="both"/>
        <w:rPr>
          <w:rFonts w:ascii="Arial" w:hAnsi="Arial" w:cs="Arial"/>
          <w:sz w:val="24"/>
          <w:szCs w:val="24"/>
          <w:lang w:val="en-US"/>
        </w:rPr>
      </w:pPr>
    </w:p>
    <w:p w:rsidR="009D1F9B" w:rsidRDefault="009D1F9B" w:rsidP="00495F65">
      <w:pPr>
        <w:spacing w:line="360" w:lineRule="auto"/>
        <w:jc w:val="both"/>
        <w:rPr>
          <w:rFonts w:ascii="Arial" w:hAnsi="Arial" w:cs="Arial"/>
          <w:sz w:val="24"/>
          <w:szCs w:val="24"/>
          <w:lang w:val="en-US"/>
        </w:rPr>
      </w:pPr>
    </w:p>
    <w:p w:rsidR="009D1F9B" w:rsidRDefault="009D1F9B" w:rsidP="00495F65">
      <w:pPr>
        <w:spacing w:line="360" w:lineRule="auto"/>
        <w:jc w:val="both"/>
        <w:rPr>
          <w:rFonts w:ascii="Arial" w:hAnsi="Arial" w:cs="Arial"/>
          <w:sz w:val="24"/>
          <w:szCs w:val="24"/>
          <w:lang w:val="en-US"/>
        </w:rPr>
      </w:pPr>
    </w:p>
    <w:p w:rsidR="007866BB" w:rsidRDefault="007866BB" w:rsidP="00495F65">
      <w:pPr>
        <w:spacing w:line="360" w:lineRule="auto"/>
        <w:jc w:val="both"/>
        <w:rPr>
          <w:rFonts w:ascii="Arial" w:hAnsi="Arial" w:cs="Arial"/>
          <w:sz w:val="24"/>
          <w:szCs w:val="24"/>
          <w:lang w:val="en-US"/>
        </w:rPr>
      </w:pPr>
    </w:p>
    <w:p w:rsidR="007866BB" w:rsidRDefault="007866BB" w:rsidP="00495F65">
      <w:pPr>
        <w:spacing w:line="360" w:lineRule="auto"/>
        <w:jc w:val="both"/>
        <w:rPr>
          <w:rFonts w:ascii="Arial" w:hAnsi="Arial" w:cs="Arial"/>
          <w:sz w:val="24"/>
          <w:szCs w:val="24"/>
          <w:lang w:val="en-US"/>
        </w:rPr>
      </w:pPr>
      <w:r>
        <w:rPr>
          <w:rFonts w:ascii="Arial" w:hAnsi="Arial" w:cs="Arial"/>
          <w:sz w:val="24"/>
          <w:szCs w:val="24"/>
          <w:lang w:val="en-US"/>
        </w:rPr>
        <w:t>Photo of Carla Carvalho</w:t>
      </w:r>
    </w:p>
    <w:p w:rsidR="007866BB" w:rsidRPr="0083318A" w:rsidRDefault="007866BB" w:rsidP="00495F65">
      <w:pPr>
        <w:spacing w:line="360" w:lineRule="auto"/>
        <w:jc w:val="both"/>
        <w:rPr>
          <w:rFonts w:ascii="Arial" w:hAnsi="Arial" w:cs="Arial"/>
          <w:sz w:val="24"/>
          <w:szCs w:val="24"/>
          <w:lang w:val="en-US"/>
        </w:rPr>
      </w:pPr>
      <w:r w:rsidRPr="007866BB">
        <w:rPr>
          <w:rFonts w:ascii="Arial" w:hAnsi="Arial" w:cs="Arial"/>
          <w:noProof/>
          <w:sz w:val="24"/>
          <w:szCs w:val="24"/>
          <w:lang w:val="en-ZA" w:eastAsia="en-ZA"/>
        </w:rPr>
        <w:drawing>
          <wp:inline distT="0" distB="0" distL="0" distR="0">
            <wp:extent cx="1177747" cy="1458767"/>
            <wp:effectExtent l="0" t="0" r="3810" b="8255"/>
            <wp:docPr id="2" name="Imagem 2" descr="C:\Users\Cassiano\Desktop\CARLA\eu Cass Juli Ta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siano\Desktop\CARLA\eu Cass Juli Tarso.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544" t="16388" r="55695" b="51118"/>
                    <a:stretch/>
                  </pic:blipFill>
                  <pic:spPr bwMode="auto">
                    <a:xfrm>
                      <a:off x="0" y="0"/>
                      <a:ext cx="1182041" cy="1464085"/>
                    </a:xfrm>
                    <a:prstGeom prst="rect">
                      <a:avLst/>
                    </a:prstGeom>
                    <a:noFill/>
                    <a:ln>
                      <a:noFill/>
                    </a:ln>
                    <a:extLst>
                      <a:ext uri="{53640926-AAD7-44D8-BBD7-CCE9431645EC}">
                        <a14:shadowObscured xmlns:a14="http://schemas.microsoft.com/office/drawing/2010/main"/>
                      </a:ext>
                    </a:extLst>
                  </pic:spPr>
                </pic:pic>
              </a:graphicData>
            </a:graphic>
          </wp:inline>
        </w:drawing>
      </w:r>
    </w:p>
    <w:p w:rsidR="00CC6D5C" w:rsidRDefault="00CC6D5C">
      <w:pPr>
        <w:rPr>
          <w:rFonts w:ascii="Arial" w:hAnsi="Arial" w:cs="Arial"/>
        </w:rPr>
      </w:pPr>
    </w:p>
    <w:p w:rsidR="00CC6D5C" w:rsidRDefault="00CC6D5C">
      <w:pPr>
        <w:rPr>
          <w:rFonts w:ascii="Arial" w:hAnsi="Arial" w:cs="Arial"/>
        </w:rPr>
      </w:pPr>
    </w:p>
    <w:p w:rsidR="009D1F9B" w:rsidRDefault="009D1F9B">
      <w:pPr>
        <w:rPr>
          <w:rFonts w:ascii="Arial" w:hAnsi="Arial" w:cs="Arial"/>
        </w:rPr>
      </w:pPr>
    </w:p>
    <w:p w:rsidR="009D1F9B" w:rsidRDefault="009D1F9B">
      <w:pPr>
        <w:rPr>
          <w:rFonts w:ascii="Arial" w:hAnsi="Arial" w:cs="Arial"/>
        </w:rPr>
      </w:pPr>
    </w:p>
    <w:p w:rsidR="00A41A54" w:rsidRDefault="00CC6D5C">
      <w:pPr>
        <w:rPr>
          <w:rFonts w:ascii="Arial" w:hAnsi="Arial" w:cs="Arial"/>
        </w:rPr>
      </w:pPr>
      <w:r>
        <w:rPr>
          <w:rFonts w:ascii="Arial" w:hAnsi="Arial" w:cs="Arial"/>
        </w:rPr>
        <w:t>REFERENCES:</w:t>
      </w:r>
      <w:r w:rsidR="00C60787">
        <w:rPr>
          <w:rFonts w:ascii="Arial" w:hAnsi="Arial" w:cs="Arial"/>
        </w:rPr>
        <w:t xml:space="preserve"> </w:t>
      </w:r>
    </w:p>
    <w:p w:rsidR="00C60787" w:rsidRPr="00C60787" w:rsidRDefault="00C60787">
      <w:pPr>
        <w:pStyle w:val="NormalWeb"/>
        <w:ind w:left="480" w:hanging="480"/>
        <w:divId w:val="580020855"/>
        <w:rPr>
          <w:rFonts w:ascii="Arial" w:hAnsi="Arial" w:cs="Arial"/>
          <w:noProof/>
          <w:sz w:val="22"/>
        </w:rPr>
      </w:pPr>
      <w:r>
        <w:rPr>
          <w:rFonts w:ascii="Arial" w:hAnsi="Arial" w:cs="Arial"/>
        </w:rPr>
        <w:fldChar w:fldCharType="begin" w:fldLock="1"/>
      </w:r>
      <w:r>
        <w:rPr>
          <w:rFonts w:ascii="Arial" w:hAnsi="Arial" w:cs="Arial"/>
        </w:rPr>
        <w:instrText xml:space="preserve">ADDIN Mendeley Bibliography CSL_BIBLIOGRAPHY </w:instrText>
      </w:r>
      <w:r>
        <w:rPr>
          <w:rFonts w:ascii="Arial" w:hAnsi="Arial" w:cs="Arial"/>
        </w:rPr>
        <w:fldChar w:fldCharType="separate"/>
      </w:r>
      <w:r w:rsidRPr="00C60787">
        <w:rPr>
          <w:rFonts w:ascii="Arial" w:hAnsi="Arial" w:cs="Arial"/>
          <w:noProof/>
          <w:sz w:val="22"/>
        </w:rPr>
        <w:t xml:space="preserve">Allen, R. J., Baddeley, A. D., &amp; Hitch, G. J. (2014). Evidence for Two Attentional Components in Visual Working Memory. </w:t>
      </w:r>
      <w:r w:rsidRPr="00C60787">
        <w:rPr>
          <w:rFonts w:ascii="Arial" w:hAnsi="Arial" w:cs="Arial"/>
          <w:i/>
          <w:iCs/>
          <w:noProof/>
          <w:sz w:val="22"/>
        </w:rPr>
        <w:t>Journal of Experimental Psychology: Learning, Memory, and Cognition</w:t>
      </w:r>
      <w:r w:rsidRPr="00C60787">
        <w:rPr>
          <w:rFonts w:ascii="Arial" w:hAnsi="Arial" w:cs="Arial"/>
          <w:noProof/>
          <w:sz w:val="22"/>
        </w:rPr>
        <w:t xml:space="preserve">, </w:t>
      </w:r>
      <w:r w:rsidRPr="00C60787">
        <w:rPr>
          <w:rFonts w:ascii="Arial" w:hAnsi="Arial" w:cs="Arial"/>
          <w:i/>
          <w:iCs/>
          <w:noProof/>
          <w:sz w:val="22"/>
        </w:rPr>
        <w:t>40</w:t>
      </w:r>
      <w:r w:rsidRPr="00C60787">
        <w:rPr>
          <w:rFonts w:ascii="Arial" w:hAnsi="Arial" w:cs="Arial"/>
          <w:noProof/>
          <w:sz w:val="22"/>
        </w:rPr>
        <w:t xml:space="preserve">(6), 1499 –1509. </w:t>
      </w:r>
    </w:p>
    <w:p w:rsidR="00C60787" w:rsidRPr="00C60787" w:rsidRDefault="00C60787">
      <w:pPr>
        <w:pStyle w:val="NormalWeb"/>
        <w:ind w:left="480" w:hanging="480"/>
        <w:divId w:val="580020855"/>
        <w:rPr>
          <w:rFonts w:ascii="Arial" w:hAnsi="Arial" w:cs="Arial"/>
          <w:noProof/>
          <w:sz w:val="22"/>
        </w:rPr>
      </w:pPr>
      <w:r w:rsidRPr="00C60787">
        <w:rPr>
          <w:rFonts w:ascii="Arial" w:hAnsi="Arial" w:cs="Arial"/>
          <w:noProof/>
          <w:sz w:val="22"/>
        </w:rPr>
        <w:t xml:space="preserve">Alloway, T. P., &amp; Alloway, R. G. (2010). Investigating the predictive roles of working memory and IQ in academic attainment. </w:t>
      </w:r>
      <w:r w:rsidRPr="00C60787">
        <w:rPr>
          <w:rFonts w:ascii="Arial" w:hAnsi="Arial" w:cs="Arial"/>
          <w:i/>
          <w:iCs/>
          <w:noProof/>
          <w:sz w:val="22"/>
        </w:rPr>
        <w:t>Journal of Experimental Child Psychology</w:t>
      </w:r>
      <w:r w:rsidRPr="00C60787">
        <w:rPr>
          <w:rFonts w:ascii="Arial" w:hAnsi="Arial" w:cs="Arial"/>
          <w:noProof/>
          <w:sz w:val="22"/>
        </w:rPr>
        <w:t xml:space="preserve">, </w:t>
      </w:r>
      <w:r w:rsidRPr="00C60787">
        <w:rPr>
          <w:rFonts w:ascii="Arial" w:hAnsi="Arial" w:cs="Arial"/>
          <w:i/>
          <w:iCs/>
          <w:noProof/>
          <w:sz w:val="22"/>
        </w:rPr>
        <w:t>106</w:t>
      </w:r>
      <w:r w:rsidRPr="00C60787">
        <w:rPr>
          <w:rFonts w:ascii="Arial" w:hAnsi="Arial" w:cs="Arial"/>
          <w:noProof/>
          <w:sz w:val="22"/>
        </w:rPr>
        <w:t xml:space="preserve">(1), 20–29. </w:t>
      </w:r>
    </w:p>
    <w:p w:rsidR="00C60787" w:rsidRPr="00C60787" w:rsidRDefault="00C60787">
      <w:pPr>
        <w:pStyle w:val="NormalWeb"/>
        <w:ind w:left="480" w:hanging="480"/>
        <w:divId w:val="580020855"/>
        <w:rPr>
          <w:rFonts w:ascii="Arial" w:hAnsi="Arial" w:cs="Arial"/>
          <w:noProof/>
          <w:sz w:val="22"/>
        </w:rPr>
      </w:pPr>
      <w:r w:rsidRPr="00C60787">
        <w:rPr>
          <w:rFonts w:ascii="Arial" w:hAnsi="Arial" w:cs="Arial"/>
          <w:noProof/>
          <w:sz w:val="22"/>
        </w:rPr>
        <w:t xml:space="preserve">Baddeley, A. D. (2012). Working Memory: Theories, Models, and Controversies. </w:t>
      </w:r>
      <w:r w:rsidRPr="00C60787">
        <w:rPr>
          <w:rFonts w:ascii="Arial" w:hAnsi="Arial" w:cs="Arial"/>
          <w:i/>
          <w:iCs/>
          <w:noProof/>
          <w:sz w:val="22"/>
        </w:rPr>
        <w:t>The Annual Review of Psychology</w:t>
      </w:r>
      <w:r w:rsidRPr="00C60787">
        <w:rPr>
          <w:rFonts w:ascii="Arial" w:hAnsi="Arial" w:cs="Arial"/>
          <w:noProof/>
          <w:sz w:val="22"/>
        </w:rPr>
        <w:t xml:space="preserve">, </w:t>
      </w:r>
      <w:r w:rsidRPr="00C60787">
        <w:rPr>
          <w:rFonts w:ascii="Arial" w:hAnsi="Arial" w:cs="Arial"/>
          <w:i/>
          <w:iCs/>
          <w:noProof/>
          <w:sz w:val="22"/>
        </w:rPr>
        <w:t>63</w:t>
      </w:r>
      <w:r w:rsidRPr="00C60787">
        <w:rPr>
          <w:rFonts w:ascii="Arial" w:hAnsi="Arial" w:cs="Arial"/>
          <w:noProof/>
          <w:sz w:val="22"/>
        </w:rPr>
        <w:t xml:space="preserve">, 1–29. </w:t>
      </w:r>
    </w:p>
    <w:p w:rsidR="00C60787" w:rsidRPr="00C60787" w:rsidRDefault="00C60787">
      <w:pPr>
        <w:pStyle w:val="NormalWeb"/>
        <w:ind w:left="480" w:hanging="480"/>
        <w:divId w:val="580020855"/>
        <w:rPr>
          <w:rFonts w:ascii="Arial" w:hAnsi="Arial" w:cs="Arial"/>
          <w:noProof/>
          <w:sz w:val="22"/>
        </w:rPr>
      </w:pPr>
      <w:r w:rsidRPr="00C60787">
        <w:rPr>
          <w:rFonts w:ascii="Arial" w:hAnsi="Arial" w:cs="Arial"/>
          <w:noProof/>
          <w:sz w:val="22"/>
        </w:rPr>
        <w:t xml:space="preserve">Dehn, M. J. (2008). </w:t>
      </w:r>
      <w:r w:rsidRPr="00C60787">
        <w:rPr>
          <w:rFonts w:ascii="Arial" w:hAnsi="Arial" w:cs="Arial"/>
          <w:i/>
          <w:iCs/>
          <w:noProof/>
          <w:sz w:val="22"/>
        </w:rPr>
        <w:t>Working memory and academic learning: assessment and intervention</w:t>
      </w:r>
      <w:r w:rsidRPr="00C60787">
        <w:rPr>
          <w:rFonts w:ascii="Arial" w:hAnsi="Arial" w:cs="Arial"/>
          <w:noProof/>
          <w:sz w:val="22"/>
        </w:rPr>
        <w:t xml:space="preserve">. Hoboken, New Jersey: Jonh Wiley &amp; Sons. </w:t>
      </w:r>
    </w:p>
    <w:p w:rsidR="00C60787" w:rsidRPr="00C60787" w:rsidRDefault="00C60787">
      <w:pPr>
        <w:pStyle w:val="NormalWeb"/>
        <w:ind w:left="480" w:hanging="480"/>
        <w:divId w:val="580020855"/>
        <w:rPr>
          <w:rFonts w:ascii="Arial" w:hAnsi="Arial" w:cs="Arial"/>
          <w:noProof/>
          <w:sz w:val="22"/>
        </w:rPr>
      </w:pPr>
      <w:r w:rsidRPr="00C60787">
        <w:rPr>
          <w:rFonts w:ascii="Arial" w:hAnsi="Arial" w:cs="Arial"/>
          <w:noProof/>
          <w:sz w:val="22"/>
        </w:rPr>
        <w:t xml:space="preserve">Edwards, P. (2011). </w:t>
      </w:r>
      <w:r w:rsidRPr="00C60787">
        <w:rPr>
          <w:rFonts w:ascii="Arial" w:hAnsi="Arial" w:cs="Arial"/>
          <w:i/>
          <w:iCs/>
          <w:noProof/>
          <w:sz w:val="22"/>
        </w:rPr>
        <w:t>Utilizing Thinking Maps® to Promote Reading Comprehension and Motivation to Read in Urban Elementary School Males</w:t>
      </w:r>
      <w:r w:rsidRPr="00C60787">
        <w:rPr>
          <w:rFonts w:ascii="Arial" w:hAnsi="Arial" w:cs="Arial"/>
          <w:noProof/>
          <w:sz w:val="22"/>
        </w:rPr>
        <w:t xml:space="preserve">. Oakland University. </w:t>
      </w:r>
    </w:p>
    <w:p w:rsidR="00C60787" w:rsidRPr="00C60787" w:rsidRDefault="00C60787">
      <w:pPr>
        <w:pStyle w:val="NormalWeb"/>
        <w:ind w:left="480" w:hanging="480"/>
        <w:divId w:val="580020855"/>
        <w:rPr>
          <w:rFonts w:ascii="Arial" w:hAnsi="Arial" w:cs="Arial"/>
          <w:noProof/>
          <w:sz w:val="22"/>
        </w:rPr>
      </w:pPr>
      <w:r w:rsidRPr="00C60787">
        <w:rPr>
          <w:rFonts w:ascii="Arial" w:hAnsi="Arial" w:cs="Arial"/>
          <w:noProof/>
          <w:sz w:val="22"/>
        </w:rPr>
        <w:t xml:space="preserve">Gentaz, E., Sprenger-Charolles, L., &amp; Theurel, A. (2015). Differences in the Predictors of Reading Comprehension in First Graders from Low SocioEconomic Status Families with Either Good or Poor Decoding Skills. </w:t>
      </w:r>
      <w:r w:rsidRPr="00C60787">
        <w:rPr>
          <w:rFonts w:ascii="Arial" w:hAnsi="Arial" w:cs="Arial"/>
          <w:i/>
          <w:iCs/>
          <w:noProof/>
          <w:sz w:val="22"/>
        </w:rPr>
        <w:t>Plos One</w:t>
      </w:r>
      <w:r w:rsidRPr="00C60787">
        <w:rPr>
          <w:rFonts w:ascii="Arial" w:hAnsi="Arial" w:cs="Arial"/>
          <w:noProof/>
          <w:sz w:val="22"/>
        </w:rPr>
        <w:t xml:space="preserve">, 1–16. </w:t>
      </w:r>
    </w:p>
    <w:p w:rsidR="00C60787" w:rsidRPr="00C60787" w:rsidRDefault="00C60787">
      <w:pPr>
        <w:pStyle w:val="NormalWeb"/>
        <w:ind w:left="480" w:hanging="480"/>
        <w:divId w:val="580020855"/>
        <w:rPr>
          <w:rFonts w:ascii="Arial" w:hAnsi="Arial" w:cs="Arial"/>
          <w:noProof/>
          <w:sz w:val="22"/>
        </w:rPr>
      </w:pPr>
      <w:r w:rsidRPr="00C60787">
        <w:rPr>
          <w:rFonts w:ascii="Arial" w:hAnsi="Arial" w:cs="Arial"/>
          <w:noProof/>
          <w:sz w:val="22"/>
        </w:rPr>
        <w:t xml:space="preserve">Hyerle, D. (2009). </w:t>
      </w:r>
      <w:r w:rsidRPr="00C60787">
        <w:rPr>
          <w:rFonts w:ascii="Arial" w:hAnsi="Arial" w:cs="Arial"/>
          <w:i/>
          <w:iCs/>
          <w:noProof/>
          <w:sz w:val="22"/>
        </w:rPr>
        <w:t>Visual Tools for Transforming Information into Knowledge</w:t>
      </w:r>
      <w:r w:rsidRPr="00C60787">
        <w:rPr>
          <w:rFonts w:ascii="Arial" w:hAnsi="Arial" w:cs="Arial"/>
          <w:noProof/>
          <w:sz w:val="22"/>
        </w:rPr>
        <w:t xml:space="preserve"> (2nd ed.). Thousand Oaks, California: SAGE Publications.</w:t>
      </w:r>
    </w:p>
    <w:p w:rsidR="00C60787" w:rsidRPr="00C60787" w:rsidRDefault="00C60787">
      <w:pPr>
        <w:pStyle w:val="NormalWeb"/>
        <w:ind w:left="480" w:hanging="480"/>
        <w:divId w:val="580020855"/>
        <w:rPr>
          <w:rFonts w:ascii="Arial" w:hAnsi="Arial" w:cs="Arial"/>
          <w:noProof/>
          <w:sz w:val="22"/>
        </w:rPr>
      </w:pPr>
      <w:r w:rsidRPr="00C60787">
        <w:rPr>
          <w:rFonts w:ascii="Arial" w:hAnsi="Arial" w:cs="Arial"/>
          <w:noProof/>
          <w:sz w:val="22"/>
        </w:rPr>
        <w:t xml:space="preserve">Hyerle, D., &amp; Alper, L. (2011). </w:t>
      </w:r>
      <w:r w:rsidRPr="00C60787">
        <w:rPr>
          <w:rFonts w:ascii="Arial" w:hAnsi="Arial" w:cs="Arial"/>
          <w:i/>
          <w:iCs/>
          <w:noProof/>
          <w:sz w:val="22"/>
        </w:rPr>
        <w:t>Students Successes with Thinking Maps – School Based Research, Results, and Models for Achievement Using Visual Tools.</w:t>
      </w:r>
      <w:r w:rsidRPr="00C60787">
        <w:rPr>
          <w:rFonts w:ascii="Arial" w:hAnsi="Arial" w:cs="Arial"/>
          <w:noProof/>
          <w:sz w:val="22"/>
        </w:rPr>
        <w:t xml:space="preserve"> (2</w:t>
      </w:r>
      <w:r w:rsidRPr="00C60787">
        <w:rPr>
          <w:rFonts w:ascii="Arial" w:hAnsi="Arial" w:cs="Arial"/>
          <w:noProof/>
          <w:sz w:val="22"/>
          <w:vertAlign w:val="superscript"/>
        </w:rPr>
        <w:t>a</w:t>
      </w:r>
      <w:r w:rsidRPr="00C60787">
        <w:rPr>
          <w:rFonts w:ascii="Arial" w:hAnsi="Arial" w:cs="Arial"/>
          <w:noProof/>
          <w:sz w:val="22"/>
        </w:rPr>
        <w:t xml:space="preserve"> edição). Corwin: A Sage Company.</w:t>
      </w:r>
    </w:p>
    <w:p w:rsidR="00C60787" w:rsidRPr="00C60787" w:rsidRDefault="00C60787">
      <w:pPr>
        <w:pStyle w:val="NormalWeb"/>
        <w:ind w:left="480" w:hanging="480"/>
        <w:divId w:val="580020855"/>
        <w:rPr>
          <w:rFonts w:ascii="Arial" w:hAnsi="Arial" w:cs="Arial"/>
          <w:noProof/>
          <w:sz w:val="22"/>
        </w:rPr>
      </w:pPr>
      <w:r w:rsidRPr="00C60787">
        <w:rPr>
          <w:rFonts w:ascii="Arial" w:hAnsi="Arial" w:cs="Arial"/>
          <w:noProof/>
          <w:sz w:val="22"/>
        </w:rPr>
        <w:t xml:space="preserve">Lopez, E. (2011). </w:t>
      </w:r>
      <w:r w:rsidRPr="00C60787">
        <w:rPr>
          <w:rFonts w:ascii="Arial" w:hAnsi="Arial" w:cs="Arial"/>
          <w:i/>
          <w:iCs/>
          <w:noProof/>
          <w:sz w:val="22"/>
        </w:rPr>
        <w:t>The Effect of a Cognitive Model, Thinking Maps, on the Academic Language Development of English Language Learners</w:t>
      </w:r>
      <w:r w:rsidRPr="00C60787">
        <w:rPr>
          <w:rFonts w:ascii="Arial" w:hAnsi="Arial" w:cs="Arial"/>
          <w:noProof/>
          <w:sz w:val="22"/>
        </w:rPr>
        <w:t>. St. John Fisher College.</w:t>
      </w:r>
    </w:p>
    <w:p w:rsidR="00C60787" w:rsidRPr="00C60787" w:rsidRDefault="00C60787">
      <w:pPr>
        <w:pStyle w:val="NormalWeb"/>
        <w:ind w:left="480" w:hanging="480"/>
        <w:divId w:val="580020855"/>
        <w:rPr>
          <w:rFonts w:ascii="Arial" w:hAnsi="Arial" w:cs="Arial"/>
          <w:noProof/>
          <w:sz w:val="22"/>
        </w:rPr>
      </w:pPr>
      <w:r w:rsidRPr="00C60787">
        <w:rPr>
          <w:rFonts w:ascii="Arial" w:hAnsi="Arial" w:cs="Arial"/>
          <w:noProof/>
          <w:sz w:val="22"/>
        </w:rPr>
        <w:t xml:space="preserve">Manning, C. M. (2003). </w:t>
      </w:r>
      <w:r w:rsidRPr="00C60787">
        <w:rPr>
          <w:rFonts w:ascii="Arial" w:hAnsi="Arial" w:cs="Arial"/>
          <w:i/>
          <w:iCs/>
          <w:noProof/>
          <w:sz w:val="22"/>
        </w:rPr>
        <w:t>Improving Reading Comprehension through Visual Tools</w:t>
      </w:r>
      <w:r w:rsidRPr="00C60787">
        <w:rPr>
          <w:rFonts w:ascii="Arial" w:hAnsi="Arial" w:cs="Arial"/>
          <w:noProof/>
          <w:sz w:val="22"/>
        </w:rPr>
        <w:t>. Eastern Nazarene College. R</w:t>
      </w:r>
      <w:r>
        <w:rPr>
          <w:rFonts w:ascii="Arial" w:hAnsi="Arial" w:cs="Arial"/>
          <w:noProof/>
          <w:sz w:val="22"/>
        </w:rPr>
        <w:t>epovs</w:t>
      </w:r>
      <w:r w:rsidRPr="00C60787">
        <w:rPr>
          <w:rFonts w:ascii="Arial" w:hAnsi="Arial" w:cs="Arial"/>
          <w:noProof/>
          <w:sz w:val="22"/>
        </w:rPr>
        <w:t>, G., &amp; B</w:t>
      </w:r>
      <w:r>
        <w:rPr>
          <w:rFonts w:ascii="Arial" w:hAnsi="Arial" w:cs="Arial"/>
          <w:noProof/>
          <w:sz w:val="22"/>
        </w:rPr>
        <w:t>addeley</w:t>
      </w:r>
      <w:r w:rsidRPr="00C60787">
        <w:rPr>
          <w:rFonts w:ascii="Arial" w:hAnsi="Arial" w:cs="Arial"/>
          <w:noProof/>
          <w:sz w:val="22"/>
        </w:rPr>
        <w:t xml:space="preserve">, A. (2006). THE MULTI-COMPONENT MODEL OF WORKING MEMORY: EXPLORATIONS IN EXPERIMENTAL COGNITIVE PSYCHOLOGY. </w:t>
      </w:r>
      <w:r w:rsidRPr="00C60787">
        <w:rPr>
          <w:rFonts w:ascii="Arial" w:hAnsi="Arial" w:cs="Arial"/>
          <w:i/>
          <w:iCs/>
          <w:noProof/>
          <w:sz w:val="22"/>
        </w:rPr>
        <w:t>Journal of Neuroscience</w:t>
      </w:r>
      <w:r w:rsidRPr="00C60787">
        <w:rPr>
          <w:rFonts w:ascii="Arial" w:hAnsi="Arial" w:cs="Arial"/>
          <w:noProof/>
          <w:sz w:val="22"/>
        </w:rPr>
        <w:t xml:space="preserve">, </w:t>
      </w:r>
      <w:r w:rsidRPr="00C60787">
        <w:rPr>
          <w:rFonts w:ascii="Arial" w:hAnsi="Arial" w:cs="Arial"/>
          <w:i/>
          <w:iCs/>
          <w:noProof/>
          <w:sz w:val="22"/>
        </w:rPr>
        <w:t>139</w:t>
      </w:r>
      <w:r w:rsidRPr="00C60787">
        <w:rPr>
          <w:rFonts w:ascii="Arial" w:hAnsi="Arial" w:cs="Arial"/>
          <w:noProof/>
          <w:sz w:val="22"/>
        </w:rPr>
        <w:t>, 5–21.</w:t>
      </w:r>
    </w:p>
    <w:p w:rsidR="00C60787" w:rsidRPr="00C60787" w:rsidRDefault="00C60787">
      <w:pPr>
        <w:pStyle w:val="NormalWeb"/>
        <w:ind w:left="480" w:hanging="480"/>
        <w:divId w:val="580020855"/>
        <w:rPr>
          <w:rFonts w:ascii="Arial" w:hAnsi="Arial" w:cs="Arial"/>
          <w:noProof/>
          <w:sz w:val="22"/>
        </w:rPr>
      </w:pPr>
      <w:r w:rsidRPr="00C60787">
        <w:rPr>
          <w:rFonts w:ascii="Arial" w:hAnsi="Arial" w:cs="Arial"/>
          <w:noProof/>
          <w:sz w:val="22"/>
        </w:rPr>
        <w:t xml:space="preserve">Uehara, E., &amp; Landeira-Fernandez, J. (2010). Um panorama sobre o desenvolvimento da memória de trabalho e seus prejuízos no aprendizado escolar. </w:t>
      </w:r>
      <w:r w:rsidRPr="00C60787">
        <w:rPr>
          <w:rFonts w:ascii="Arial" w:hAnsi="Arial" w:cs="Arial"/>
          <w:i/>
          <w:iCs/>
          <w:noProof/>
          <w:sz w:val="22"/>
        </w:rPr>
        <w:t>Ciências &amp; Cognição</w:t>
      </w:r>
      <w:r w:rsidRPr="00C60787">
        <w:rPr>
          <w:rFonts w:ascii="Arial" w:hAnsi="Arial" w:cs="Arial"/>
          <w:noProof/>
          <w:sz w:val="22"/>
        </w:rPr>
        <w:t xml:space="preserve">, </w:t>
      </w:r>
      <w:r w:rsidRPr="00C60787">
        <w:rPr>
          <w:rFonts w:ascii="Arial" w:hAnsi="Arial" w:cs="Arial"/>
          <w:i/>
          <w:iCs/>
          <w:noProof/>
          <w:sz w:val="22"/>
        </w:rPr>
        <w:t>15</w:t>
      </w:r>
      <w:r w:rsidRPr="00C60787">
        <w:rPr>
          <w:rFonts w:ascii="Arial" w:hAnsi="Arial" w:cs="Arial"/>
          <w:noProof/>
          <w:sz w:val="22"/>
        </w:rPr>
        <w:t>(2), 31–41.</w:t>
      </w:r>
    </w:p>
    <w:p w:rsidR="00C60787" w:rsidRPr="00C60787" w:rsidRDefault="00C60787">
      <w:pPr>
        <w:pStyle w:val="NormalWeb"/>
        <w:ind w:left="480" w:hanging="480"/>
        <w:divId w:val="580020855"/>
        <w:rPr>
          <w:rFonts w:ascii="Arial" w:hAnsi="Arial" w:cs="Arial"/>
          <w:noProof/>
          <w:sz w:val="22"/>
        </w:rPr>
      </w:pPr>
      <w:r w:rsidRPr="00C60787">
        <w:rPr>
          <w:rFonts w:ascii="Arial" w:hAnsi="Arial" w:cs="Arial"/>
          <w:noProof/>
          <w:sz w:val="22"/>
        </w:rPr>
        <w:t xml:space="preserve">Wagner, R. K., &amp; Ridgewell, C. (2009). A Large-Scale Study of Specific Reading Comprehension Disability. </w:t>
      </w:r>
      <w:r w:rsidRPr="00C60787">
        <w:rPr>
          <w:rFonts w:ascii="Arial" w:hAnsi="Arial" w:cs="Arial"/>
          <w:i/>
          <w:iCs/>
          <w:noProof/>
          <w:sz w:val="22"/>
        </w:rPr>
        <w:t>Perspectives on Language and Literacy</w:t>
      </w:r>
      <w:r w:rsidRPr="00C60787">
        <w:rPr>
          <w:rFonts w:ascii="Arial" w:hAnsi="Arial" w:cs="Arial"/>
          <w:noProof/>
          <w:sz w:val="22"/>
        </w:rPr>
        <w:t xml:space="preserve">, </w:t>
      </w:r>
      <w:r w:rsidRPr="00C60787">
        <w:rPr>
          <w:rFonts w:ascii="Arial" w:hAnsi="Arial" w:cs="Arial"/>
          <w:i/>
          <w:iCs/>
          <w:noProof/>
          <w:sz w:val="22"/>
        </w:rPr>
        <w:t>35</w:t>
      </w:r>
      <w:r w:rsidRPr="00C60787">
        <w:rPr>
          <w:rFonts w:ascii="Arial" w:hAnsi="Arial" w:cs="Arial"/>
          <w:noProof/>
          <w:sz w:val="22"/>
        </w:rPr>
        <w:t>(5), 27–31.</w:t>
      </w:r>
    </w:p>
    <w:p w:rsidR="00CC6D5C" w:rsidRDefault="00C60787" w:rsidP="00C60787">
      <w:pPr>
        <w:rPr>
          <w:rFonts w:ascii="Arial" w:hAnsi="Arial" w:cs="Arial"/>
        </w:rPr>
      </w:pPr>
      <w:r>
        <w:rPr>
          <w:rFonts w:ascii="Arial" w:hAnsi="Arial" w:cs="Arial"/>
        </w:rPr>
        <w:fldChar w:fldCharType="end"/>
      </w:r>
    </w:p>
    <w:p w:rsidR="00CC6D5C" w:rsidRPr="0083318A" w:rsidRDefault="00CC6D5C">
      <w:pPr>
        <w:rPr>
          <w:rFonts w:ascii="Arial" w:hAnsi="Arial" w:cs="Arial"/>
        </w:rPr>
      </w:pPr>
    </w:p>
    <w:sectPr w:rsidR="00CC6D5C" w:rsidRPr="0083318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D6E"/>
    <w:rsid w:val="00063E9E"/>
    <w:rsid w:val="000A0133"/>
    <w:rsid w:val="000E1E5F"/>
    <w:rsid w:val="0013202B"/>
    <w:rsid w:val="00302720"/>
    <w:rsid w:val="003254B1"/>
    <w:rsid w:val="003559BC"/>
    <w:rsid w:val="00396C6C"/>
    <w:rsid w:val="00487773"/>
    <w:rsid w:val="00495F65"/>
    <w:rsid w:val="00540E58"/>
    <w:rsid w:val="0065263B"/>
    <w:rsid w:val="006F6C20"/>
    <w:rsid w:val="0074004A"/>
    <w:rsid w:val="0075296B"/>
    <w:rsid w:val="007866BB"/>
    <w:rsid w:val="007B6B60"/>
    <w:rsid w:val="007D3BF7"/>
    <w:rsid w:val="00814B31"/>
    <w:rsid w:val="0083318A"/>
    <w:rsid w:val="00833342"/>
    <w:rsid w:val="00872277"/>
    <w:rsid w:val="008A1D6E"/>
    <w:rsid w:val="008B0D30"/>
    <w:rsid w:val="008B4FB4"/>
    <w:rsid w:val="009A3DB3"/>
    <w:rsid w:val="009D1F9B"/>
    <w:rsid w:val="00A177C0"/>
    <w:rsid w:val="00A41A54"/>
    <w:rsid w:val="00A6043D"/>
    <w:rsid w:val="00B020D3"/>
    <w:rsid w:val="00B26B04"/>
    <w:rsid w:val="00B77924"/>
    <w:rsid w:val="00BA67E0"/>
    <w:rsid w:val="00BB763E"/>
    <w:rsid w:val="00C60787"/>
    <w:rsid w:val="00C90632"/>
    <w:rsid w:val="00CC5FCD"/>
    <w:rsid w:val="00CC6D5C"/>
    <w:rsid w:val="00CE1181"/>
    <w:rsid w:val="00D5200F"/>
    <w:rsid w:val="00D611BD"/>
    <w:rsid w:val="00D85CC0"/>
    <w:rsid w:val="00DA15C6"/>
    <w:rsid w:val="00DA32C3"/>
    <w:rsid w:val="00DE10C6"/>
    <w:rsid w:val="00EC40D2"/>
    <w:rsid w:val="00F1719E"/>
    <w:rsid w:val="00F27B28"/>
    <w:rsid w:val="00F67F7A"/>
    <w:rsid w:val="00F96B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A3DB3"/>
  </w:style>
  <w:style w:type="paragraph" w:styleId="BalloonText">
    <w:name w:val="Balloon Text"/>
    <w:basedOn w:val="Normal"/>
    <w:link w:val="BalloonTextChar"/>
    <w:uiPriority w:val="99"/>
    <w:semiHidden/>
    <w:unhideWhenUsed/>
    <w:rsid w:val="003559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9BC"/>
    <w:rPr>
      <w:rFonts w:ascii="Tahoma" w:hAnsi="Tahoma" w:cs="Tahoma"/>
      <w:sz w:val="16"/>
      <w:szCs w:val="16"/>
    </w:rPr>
  </w:style>
  <w:style w:type="paragraph" w:styleId="NormalWeb">
    <w:name w:val="Normal (Web)"/>
    <w:basedOn w:val="Normal"/>
    <w:uiPriority w:val="99"/>
    <w:unhideWhenUsed/>
    <w:rsid w:val="00CC6D5C"/>
    <w:pPr>
      <w:spacing w:before="100" w:beforeAutospacing="1" w:after="100" w:afterAutospacing="1" w:line="240" w:lineRule="auto"/>
    </w:pPr>
    <w:rPr>
      <w:rFonts w:ascii="Times New Roman" w:eastAsiaTheme="minorEastAsia"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A3DB3"/>
  </w:style>
  <w:style w:type="paragraph" w:styleId="BalloonText">
    <w:name w:val="Balloon Text"/>
    <w:basedOn w:val="Normal"/>
    <w:link w:val="BalloonTextChar"/>
    <w:uiPriority w:val="99"/>
    <w:semiHidden/>
    <w:unhideWhenUsed/>
    <w:rsid w:val="003559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9BC"/>
    <w:rPr>
      <w:rFonts w:ascii="Tahoma" w:hAnsi="Tahoma" w:cs="Tahoma"/>
      <w:sz w:val="16"/>
      <w:szCs w:val="16"/>
    </w:rPr>
  </w:style>
  <w:style w:type="paragraph" w:styleId="NormalWeb">
    <w:name w:val="Normal (Web)"/>
    <w:basedOn w:val="Normal"/>
    <w:uiPriority w:val="99"/>
    <w:unhideWhenUsed/>
    <w:rsid w:val="00CC6D5C"/>
    <w:pPr>
      <w:spacing w:before="100" w:beforeAutospacing="1" w:after="100" w:afterAutospacing="1" w:line="240" w:lineRule="auto"/>
    </w:pPr>
    <w:rPr>
      <w:rFonts w:ascii="Times New Roman" w:eastAsiaTheme="minorEastAsia"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808668">
      <w:bodyDiv w:val="1"/>
      <w:marLeft w:val="0"/>
      <w:marRight w:val="0"/>
      <w:marTop w:val="0"/>
      <w:marBottom w:val="0"/>
      <w:divBdr>
        <w:top w:val="none" w:sz="0" w:space="0" w:color="auto"/>
        <w:left w:val="none" w:sz="0" w:space="0" w:color="auto"/>
        <w:bottom w:val="none" w:sz="0" w:space="0" w:color="auto"/>
        <w:right w:val="none" w:sz="0" w:space="0" w:color="auto"/>
      </w:divBdr>
    </w:div>
    <w:div w:id="580020855">
      <w:bodyDiv w:val="1"/>
      <w:marLeft w:val="0"/>
      <w:marRight w:val="0"/>
      <w:marTop w:val="0"/>
      <w:marBottom w:val="0"/>
      <w:divBdr>
        <w:top w:val="none" w:sz="0" w:space="0" w:color="auto"/>
        <w:left w:val="none" w:sz="0" w:space="0" w:color="auto"/>
        <w:bottom w:val="none" w:sz="0" w:space="0" w:color="auto"/>
        <w:right w:val="none" w:sz="0" w:space="0" w:color="auto"/>
      </w:divBdr>
    </w:div>
    <w:div w:id="2098744465">
      <w:bodyDiv w:val="1"/>
      <w:marLeft w:val="0"/>
      <w:marRight w:val="0"/>
      <w:marTop w:val="0"/>
      <w:marBottom w:val="0"/>
      <w:divBdr>
        <w:top w:val="none" w:sz="0" w:space="0" w:color="auto"/>
        <w:left w:val="none" w:sz="0" w:space="0" w:color="auto"/>
        <w:bottom w:val="none" w:sz="0" w:space="0" w:color="auto"/>
        <w:right w:val="none" w:sz="0" w:space="0" w:color="auto"/>
      </w:divBdr>
      <w:divsChild>
        <w:div w:id="320279387">
          <w:marLeft w:val="0"/>
          <w:marRight w:val="0"/>
          <w:marTop w:val="0"/>
          <w:marBottom w:val="0"/>
          <w:divBdr>
            <w:top w:val="none" w:sz="0" w:space="0" w:color="auto"/>
            <w:left w:val="none" w:sz="0" w:space="0" w:color="auto"/>
            <w:bottom w:val="none" w:sz="0" w:space="0" w:color="auto"/>
            <w:right w:val="none" w:sz="0" w:space="0" w:color="auto"/>
          </w:divBdr>
          <w:divsChild>
            <w:div w:id="2062778160">
              <w:marLeft w:val="0"/>
              <w:marRight w:val="0"/>
              <w:marTop w:val="0"/>
              <w:marBottom w:val="0"/>
              <w:divBdr>
                <w:top w:val="none" w:sz="0" w:space="0" w:color="auto"/>
                <w:left w:val="none" w:sz="0" w:space="0" w:color="auto"/>
                <w:bottom w:val="none" w:sz="0" w:space="0" w:color="auto"/>
                <w:right w:val="none" w:sz="0" w:space="0" w:color="auto"/>
              </w:divBdr>
              <w:divsChild>
                <w:div w:id="933897960">
                  <w:marLeft w:val="0"/>
                  <w:marRight w:val="0"/>
                  <w:marTop w:val="0"/>
                  <w:marBottom w:val="0"/>
                  <w:divBdr>
                    <w:top w:val="none" w:sz="0" w:space="0" w:color="auto"/>
                    <w:left w:val="none" w:sz="0" w:space="0" w:color="auto"/>
                    <w:bottom w:val="none" w:sz="0" w:space="0" w:color="auto"/>
                    <w:right w:val="none" w:sz="0" w:space="0" w:color="auto"/>
                  </w:divBdr>
                </w:div>
                <w:div w:id="3136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9C240-1A66-485E-A9BE-391EA39C0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4770</Words>
  <Characters>27190</Characters>
  <Application>Microsoft Office Word</Application>
  <DocSecurity>0</DocSecurity>
  <Lines>226</Lines>
  <Paragraphs>63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31897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Cassiano</dc:creator>
  <cp:lastModifiedBy>Louis</cp:lastModifiedBy>
  <cp:revision>2</cp:revision>
  <dcterms:created xsi:type="dcterms:W3CDTF">2015-09-28T06:26:00Z</dcterms:created>
  <dcterms:modified xsi:type="dcterms:W3CDTF">2015-09-28T06:26:00Z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carlacarvalho08@gmail.com@www.mendeley.com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